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tblInd w:w="9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8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341" w:hRule="atLeast"/>
        </w:trPr>
        <w:tc>
          <w:tcPr>
            <w:tcW w:w="88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/>
              <w:spacing w:before="60"/>
              <w:jc w:val="center"/>
              <w:outlineLvl w:val="3"/>
              <w:rPr>
                <w:b/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-133350</wp:posOffset>
                      </wp:positionV>
                      <wp:extent cx="6584315" cy="1424940"/>
                      <wp:effectExtent l="0" t="0" r="0" b="0"/>
                      <wp:wrapNone/>
                      <wp:docPr id="12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315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o:spt="1" style="position:absolute;left:0pt;margin-left:0.6pt;margin-top:-10.5pt;height:112.2pt;width:518.45pt;z-index:-251657216;mso-width-relative:page;mso-height-relative:page;" filled="f" stroked="f" coordsize="21600,21600" o:allowincell="f" o:gfxdata="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aj079cAAAAKAQAADwAAAAAAAAABACAAAAAiAAAAZHJzL2Rvd25y&#10;ZXYueG1sUEsBAhQAFAAAAAgAh07iQBfPizH/AQAADQQAAA4AAAAAAAAAAQAgAAAAJgEAAGRycy9l&#10;Mm9Eb2MueG1sUEsFBgAAAAAGAAYAWQEAAJcFAAAAAA==&#10;">
                      <v:fill on="f" focussize="0,0"/>
                      <v:stroke on="f"/>
                      <v:imagedata o:title=""/>
                      <o:lock v:ext="edit" aspectratio="f"/>
                      <v:textbox inset="1pt,1pt,1pt,1pt">
                        <w:txbxContent>
                          <w:p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>
      <w:pPr>
        <w:spacing w:line="80" w:lineRule="exact"/>
        <w:rPr>
          <w:sz w:val="20"/>
        </w:rPr>
      </w:pPr>
    </w:p>
    <w:p>
      <w:pPr>
        <w:rPr>
          <w:sz w:val="20"/>
        </w:rPr>
      </w:pPr>
    </w:p>
    <w:tbl>
      <w:tblPr>
        <w:tblStyle w:val="12"/>
        <w:tblW w:w="0" w:type="auto"/>
        <w:tblInd w:w="3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9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99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/>
          </w:tcPr>
          <w:p>
            <w:pPr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Обязанность предоставления административных данных предусмотрена статьей 8 Федерального закона от 29 ноября 2007 г. № 282-ФЗ «Об официальном статистическом учете и системе государственной статистики 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в Российской Федерации</w:t>
            </w:r>
          </w:p>
        </w:tc>
      </w:tr>
    </w:tbl>
    <w:p>
      <w:pPr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128270</wp:posOffset>
                </wp:positionV>
                <wp:extent cx="6584315" cy="1555115"/>
                <wp:effectExtent l="0" t="0" r="0" b="0"/>
                <wp:wrapNone/>
                <wp:docPr id="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315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o:spt="1" style="position:absolute;left:0pt;margin-left:-2.85pt;margin-top:10.1pt;height:122.45pt;width:518.45pt;z-index:-251656192;mso-width-relative:page;mso-height-relative:page;" filled="f" stroked="f" coordsize="21600,21600" o:allowincell="f" o:gfxdata="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UIF712AAAAAoBAAAPAAAAAAAAAAEAIAAAACIAAABkcnMvZG93bnJl&#10;di54bWxQSwECFAAUAAAACACHTuJApROzVP0BAAANBAAADgAAAAAAAAABACAAAAAn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128270</wp:posOffset>
                </wp:positionV>
                <wp:extent cx="6494145" cy="2469515"/>
                <wp:effectExtent l="0" t="0" r="0" b="0"/>
                <wp:wrapNone/>
                <wp:docPr id="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4145" cy="246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7.7pt;margin-top:10.1pt;height:194.45pt;width:511.35pt;z-index:-251655168;mso-width-relative:page;mso-height-relative:page;" filled="f" stroked="f" coordsize="21600,21600" o:allowincell="f" o:gfxdata="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uc+QNgAAAAKAQAADwAAAAAAAAABACAAAAAiAAAAZHJzL2Rvd25y&#10;ZXYueG1sUEsBAhQAFAAAAAgAh07iQKs2mvD+AQAADAQAAA4AAAAAAAAAAQAgAAAAJw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rPr>
          <w:sz w:val="20"/>
        </w:rPr>
      </w:pPr>
    </w:p>
    <w:tbl>
      <w:tblPr>
        <w:tblStyle w:val="12"/>
        <w:tblW w:w="0" w:type="auto"/>
        <w:tblInd w:w="499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1275"/>
        <w:gridCol w:w="7304"/>
        <w:gridCol w:w="634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275" w:type="dxa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73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5" w:color="auto" w:fill="auto"/>
          </w:tcPr>
          <w:p>
            <w:pPr>
              <w:spacing w:before="120"/>
              <w:jc w:val="center"/>
              <w:rPr>
                <w:bCs/>
                <w:caps/>
                <w:sz w:val="20"/>
              </w:rPr>
            </w:pPr>
            <w:r>
              <w:rPr>
                <w:bCs/>
                <w:caps/>
                <w:sz w:val="20"/>
              </w:rPr>
              <w:t xml:space="preserve">Сведения об ОБЪЕКТАХ розничной торговли </w:t>
            </w:r>
          </w:p>
          <w:p>
            <w:pPr>
              <w:jc w:val="center"/>
              <w:rPr>
                <w:bCs/>
                <w:caps/>
                <w:sz w:val="20"/>
              </w:rPr>
            </w:pPr>
            <w:r>
              <w:rPr>
                <w:bCs/>
                <w:caps/>
                <w:sz w:val="20"/>
              </w:rPr>
              <w:t xml:space="preserve">и общественного питания 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состоянию на  1 апреля 2024  г. </w:t>
            </w:r>
            <w:r>
              <w:rPr>
                <w:sz w:val="20"/>
              </w:rPr>
              <w:fldChar w:fldCharType="end"/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(января, апреля, июля, октября) </w:t>
            </w:r>
          </w:p>
          <w:p>
            <w:pPr>
              <w:jc w:val="center"/>
              <w:rPr>
                <w:sz w:val="20"/>
              </w:rPr>
            </w:pPr>
          </w:p>
          <w:p>
            <w:pPr>
              <w:rPr>
                <w:bCs/>
                <w:caps/>
                <w:sz w:val="20"/>
              </w:rPr>
            </w:pPr>
            <w:r>
              <w:rPr>
                <w:sz w:val="20"/>
              </w:rPr>
              <w:t xml:space="preserve">                                                         </w:t>
            </w:r>
          </w:p>
        </w:tc>
        <w:tc>
          <w:tcPr>
            <w:tcW w:w="634" w:type="dxa"/>
          </w:tcPr>
          <w:p>
            <w:pPr>
              <w:jc w:val="center"/>
              <w:rPr>
                <w:sz w:val="20"/>
              </w:rPr>
            </w:pPr>
          </w:p>
        </w:tc>
      </w:tr>
    </w:tbl>
    <w:p>
      <w:pPr>
        <w:spacing w:line="540" w:lineRule="exact"/>
        <w:rPr>
          <w:sz w:val="20"/>
        </w:rPr>
      </w:pPr>
    </w:p>
    <w:tbl>
      <w:tblPr>
        <w:tblStyle w:val="12"/>
        <w:tblW w:w="10080" w:type="dxa"/>
        <w:tblInd w:w="355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5509"/>
        <w:gridCol w:w="1979"/>
        <w:gridCol w:w="162"/>
        <w:gridCol w:w="2430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66" w:hRule="atLeast"/>
        </w:trPr>
        <w:tc>
          <w:tcPr>
            <w:tcW w:w="55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5118735</wp:posOffset>
                      </wp:positionH>
                      <wp:positionV relativeFrom="paragraph">
                        <wp:posOffset>15240</wp:posOffset>
                      </wp:positionV>
                      <wp:extent cx="1331595" cy="237490"/>
                      <wp:effectExtent l="0" t="0" r="1905" b="0"/>
                      <wp:wrapNone/>
                      <wp:docPr id="4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159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o:spt="1" style="position:absolute;left:0pt;margin-left:403.05pt;margin-top:1.2pt;height:18.7pt;width:104.85pt;z-index:-251655168;mso-width-relative:page;mso-height-relative:page;" fillcolor="#F2F2F2" filled="t" stroked="t" coordsize="21600,21600" o:allowincell="f" o:gfxdata="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6TJt12QAAAAkBAAAPAAAAAAAAAAEAIAAAACIAAABkcnMvZG93bnJldi54&#10;bWxQSwECFAAUAAAACACHTuJApjvyCTICAAB/BAAADgAAAAAAAAABACAAAAAoAQAAZHJzL2Uyb0Rv&#10;Yy54bWxQSwUGAAAAAAYABgBZAQAAzAUAAAAA&#10;">
                      <v:fill on="t" focussize="0,0"/>
                      <v:stroke weight="1.5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</w:rPr>
              <w:t>Предоставляют:</w:t>
            </w:r>
          </w:p>
        </w:tc>
        <w:tc>
          <w:tcPr>
            <w:tcW w:w="19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161" w:type="dxa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2430" w:type="dxa"/>
          </w:tcPr>
          <w:p>
            <w:pPr>
              <w:keepNext/>
              <w:spacing w:before="80"/>
              <w:outlineLvl w:val="3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 xml:space="preserve"> Форма № 1-ТОРГ(МО)</w:t>
            </w:r>
            <w:r>
              <w:rPr>
                <w:b/>
                <w:sz w:val="20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118" w:hRule="atLeast"/>
        </w:trPr>
        <w:tc>
          <w:tcPr>
            <w:tcW w:w="5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80" w:lineRule="exact"/>
              <w:rPr>
                <w:rFonts w:cs="Arial"/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1163320</wp:posOffset>
                      </wp:positionV>
                      <wp:extent cx="1389380" cy="214630"/>
                      <wp:effectExtent l="0" t="0" r="1270" b="0"/>
                      <wp:wrapNone/>
                      <wp:docPr id="3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3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402.6pt;margin-top:91.6pt;height:16.9pt;width:109.4pt;z-index:-251654144;mso-width-relative:page;mso-height-relative:page;" fillcolor="#F2F2F2" filled="t" stroked="t" coordsize="21600,21600" o:allowincell="f" o:gfxdata="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MkgJO2wAAAAwBAAAPAAAAAAAAAAEAIAAAACIAAABkcnMvZG93bnJldi54&#10;bWxQSwECFAAUAAAACACHTuJAaUQS3zACAAB/BAAADgAAAAAAAAABACAAAAAqAQAAZHJzL2Uyb0Rv&#10;Yy54bWxQSwUGAAAAAAYABgBZAQAAzAUAAAAA&#10;">
                      <v:fill on="t" focussize="0,0"/>
                      <v:stroke weight="1.5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Arial"/>
                <w:sz w:val="20"/>
              </w:rPr>
              <w:t>органы местного самоуправления муниципальных образований:</w:t>
            </w:r>
          </w:p>
          <w:p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sym w:font="Symbol" w:char="F02D"/>
            </w:r>
            <w:r>
              <w:rPr>
                <w:sz w:val="20"/>
              </w:rPr>
              <w:t xml:space="preserve"> территориальному органу Росстата в субъекте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 xml:space="preserve">      Российской Федерации по установленному им адресу</w:t>
            </w:r>
          </w:p>
        </w:tc>
        <w:tc>
          <w:tcPr>
            <w:tcW w:w="1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 1-го по 5-й рабочий день после отчетного квартала</w:t>
            </w:r>
            <w:r>
              <w:rPr>
                <w:sz w:val="20"/>
              </w:rPr>
              <w:br w:type="textWrapping"/>
            </w:r>
          </w:p>
        </w:tc>
        <w:tc>
          <w:tcPr>
            <w:tcW w:w="161" w:type="dxa"/>
          </w:tcPr>
          <w:p>
            <w:pPr>
              <w:spacing w:line="180" w:lineRule="exact"/>
              <w:rPr>
                <w:sz w:val="20"/>
              </w:rPr>
            </w:pPr>
          </w:p>
        </w:tc>
        <w:tc>
          <w:tcPr>
            <w:tcW w:w="2430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Об утверждении формы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17.10.2022 № 705  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(при наличии)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__________ № ___      </w:t>
            </w:r>
          </w:p>
          <w:p>
            <w:pPr>
              <w:spacing w:before="8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  <w:lang w:val="en-US"/>
              </w:rPr>
              <w:instrText xml:space="preserve">INCLUDETEXT</w:instrText>
            </w:r>
            <w:r>
              <w:rPr>
                <w:sz w:val="20"/>
              </w:rPr>
              <w:instrText xml:space="preserve"> "</w:instrText>
            </w:r>
            <w:r>
              <w:rPr>
                <w:sz w:val="20"/>
                <w:lang w:val="en-US"/>
              </w:rPr>
              <w:instrText xml:space="preserve">c</w:instrText>
            </w:r>
            <w:r>
              <w:rPr>
                <w:sz w:val="20"/>
              </w:rPr>
              <w:instrText xml:space="preserve">:\\</w:instrText>
            </w:r>
            <w:r>
              <w:rPr>
                <w:sz w:val="20"/>
                <w:lang w:val="en-US"/>
              </w:rPr>
              <w:instrText xml:space="preserve">access</w:instrText>
            </w:r>
            <w:r>
              <w:rPr>
                <w:sz w:val="20"/>
              </w:rPr>
              <w:instrText xml:space="preserve">20\\</w:instrText>
            </w:r>
            <w:r>
              <w:rPr>
                <w:sz w:val="20"/>
                <w:lang w:val="en-US"/>
              </w:rPr>
              <w:instrText xml:space="preserve">kformp</w:instrText>
            </w:r>
            <w:r>
              <w:rPr>
                <w:sz w:val="20"/>
              </w:rPr>
              <w:instrText xml:space="preserve">\\</w:instrText>
            </w:r>
            <w:r>
              <w:rPr>
                <w:sz w:val="20"/>
                <w:lang w:val="en-US"/>
              </w:rPr>
              <w:instrText xml:space="preserve">period</w:instrText>
            </w:r>
            <w:r>
              <w:rPr>
                <w:sz w:val="20"/>
              </w:rPr>
              <w:instrText xml:space="preserve">.</w:instrText>
            </w:r>
            <w:r>
              <w:rPr>
                <w:sz w:val="20"/>
                <w:lang w:val="en-US"/>
              </w:rPr>
              <w:instrText xml:space="preserve">txt</w:instrText>
            </w:r>
            <w:r>
              <w:rPr>
                <w:sz w:val="20"/>
              </w:rPr>
              <w:instrText xml:space="preserve">" \* </w:instrText>
            </w:r>
            <w:r>
              <w:rPr>
                <w:sz w:val="20"/>
                <w:lang w:val="en-US"/>
              </w:rPr>
              <w:instrText xml:space="preserve">MERGEFORMAT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</w:rPr>
              <w:t xml:space="preserve"> от  __________ № ___</w:t>
            </w:r>
          </w:p>
          <w:p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fldChar w:fldCharType="end"/>
            </w:r>
            <w:r>
              <w:rPr>
                <w:sz w:val="20"/>
              </w:rPr>
              <w:t>Квартальная</w:t>
            </w: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tbl>
      <w:tblPr>
        <w:tblStyle w:val="12"/>
        <w:tblW w:w="0" w:type="auto"/>
        <w:tblInd w:w="354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1418"/>
        <w:gridCol w:w="2759"/>
        <w:gridCol w:w="2759"/>
        <w:gridCol w:w="2760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0" w:hRule="atLeast"/>
        </w:trPr>
        <w:tc>
          <w:tcPr>
            <w:tcW w:w="96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 Администрация Костельцевского сельсовета Курчатовского района Курской области</w:t>
            </w:r>
          </w:p>
        </w:tc>
      </w:tr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0" w:hRule="atLeast"/>
        </w:trPr>
        <w:tc>
          <w:tcPr>
            <w:tcW w:w="96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 307224, Курская область, Курчатовский район, Костельцевский сельсовет, с.Костельцево, ул.Кузьмичева, д.3</w:t>
            </w:r>
          </w:p>
        </w:tc>
      </w:tr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</w:tcPr>
          <w:p>
            <w:pPr>
              <w:spacing w:before="24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7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5" w:color="auto" w:fill="auto"/>
          </w:tcPr>
          <w:p>
            <w:pPr>
              <w:spacing w:before="120" w:after="12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</w:tc>
      </w:tr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по ОКУД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</w:p>
          <w:p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муниципального образования по локальному классификатору типов муниципального образования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ОКТМО муниципального образования, за которое предоставляется отчет</w:t>
            </w:r>
          </w:p>
        </w:tc>
      </w:tr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0614026</w:t>
            </w:r>
          </w:p>
        </w:tc>
        <w:tc>
          <w:tcPr>
            <w:tcW w:w="27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04182216</w:t>
            </w:r>
          </w:p>
        </w:tc>
        <w:tc>
          <w:tcPr>
            <w:tcW w:w="27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0"/>
              </w:rPr>
            </w:pPr>
          </w:p>
        </w:tc>
        <w:tc>
          <w:tcPr>
            <w:tcW w:w="27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0"/>
              </w:rPr>
            </w:pPr>
            <w:r>
              <w:rPr>
                <w:sz w:val="20"/>
              </w:rPr>
              <w:t>38621425000</w:t>
            </w:r>
          </w:p>
        </w:tc>
      </w:tr>
    </w:tbl>
    <w:p>
      <w:pPr>
        <w:spacing w:after="80"/>
        <w:jc w:val="center"/>
        <w:rPr>
          <w:sz w:val="20"/>
        </w:rPr>
      </w:pPr>
      <w:r>
        <w:rPr>
          <w:sz w:val="20"/>
        </w:rPr>
        <w:br w:type="page"/>
      </w:r>
      <w:r>
        <w:rPr>
          <w:b/>
          <w:szCs w:val="24"/>
        </w:rPr>
        <w:t>Раздел 1. Объекты розничной торговли и общественного питания</w:t>
      </w:r>
    </w:p>
    <w:tbl>
      <w:tblPr>
        <w:tblStyle w:val="12"/>
        <w:tblW w:w="93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4111"/>
        <w:gridCol w:w="985"/>
        <w:gridCol w:w="2441"/>
        <w:gridCol w:w="11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blHeader/>
          <w:jc w:val="center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708"/>
              </w:tabs>
              <w:spacing w:before="40" w:line="210" w:lineRule="exact"/>
              <w:ind w:left="-113"/>
              <w:jc w:val="center"/>
              <w:rPr>
                <w:sz w:val="20"/>
              </w:rPr>
            </w:pPr>
            <w:r>
              <w:rPr>
                <w:sz w:val="20"/>
              </w:rPr>
              <w:t>№ стро-ки</w:t>
            </w:r>
          </w:p>
        </w:tc>
        <w:tc>
          <w:tcPr>
            <w:tcW w:w="41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</w:tcPr>
          <w:p>
            <w:pPr>
              <w:tabs>
                <w:tab w:val="left" w:pos="708"/>
              </w:tabs>
              <w:spacing w:before="40"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 xml:space="preserve">  по муниципальному образованию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708"/>
              </w:tabs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Всего по сельской территории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0" w:hRule="atLeast"/>
          <w:tblHeader/>
          <w:jc w:val="center"/>
        </w:trPr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-113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41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Магазины </w:t>
            </w:r>
            <w:r>
              <w:rPr>
                <w:sz w:val="20"/>
              </w:rPr>
              <w:sym w:font="Symbol" w:char="F02D"/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17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из строки 01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>
              <w:rPr>
                <w:sz w:val="20"/>
              </w:rPr>
              <w:t>гипермаркеты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>
              <w:rPr>
                <w:sz w:val="20"/>
              </w:rPr>
              <w:t>супермаркеты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>
              <w:rPr>
                <w:sz w:val="20"/>
              </w:rPr>
              <w:t>минимаркеты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>
              <w:rPr>
                <w:sz w:val="20"/>
              </w:rPr>
              <w:t>универмаги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>
              <w:rPr>
                <w:sz w:val="20"/>
              </w:rPr>
              <w:t>прочие магазины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70"/>
              <w:contextualSpacing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napToGrid w:val="0"/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napToGrid w:val="0"/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Павильоны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napToGrid w:val="0"/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napToGrid w:val="0"/>
              <w:spacing w:line="200" w:lineRule="exact"/>
              <w:ind w:left="113"/>
              <w:contextualSpacing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Палатки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center"/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Киоски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00" w:lineRule="exact"/>
              <w:jc w:val="center"/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Аптеки и аптечные магазины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ind w:left="113"/>
              <w:contextualSpacing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Аптечные киоски и пункты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Общедоступные столовые, закусочные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>
              <w:rPr>
                <w:sz w:val="20"/>
              </w:rPr>
              <w:t>в них мест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мест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>
              <w:rPr>
                <w:sz w:val="20"/>
              </w:rPr>
              <w:t>в них мест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мест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ind w:left="-175" w:firstLine="175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117,5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rPr>
                <w:sz w:val="20"/>
              </w:rPr>
            </w:pPr>
            <w:r>
              <w:rPr>
                <w:sz w:val="20"/>
              </w:rPr>
              <w:t>Рестораны, кафе, бары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ед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>
              <w:rPr>
                <w:sz w:val="20"/>
              </w:rPr>
              <w:t>в них мест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мест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708"/>
              </w:tabs>
              <w:spacing w:before="60" w:line="200" w:lineRule="exact"/>
              <w:ind w:left="113"/>
              <w:contextualSpacing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tabs>
                <w:tab w:val="left" w:pos="708"/>
              </w:tabs>
              <w:spacing w:before="60" w:line="200" w:lineRule="exac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8"/>
              </w:tabs>
              <w:spacing w:line="200" w:lineRule="exact"/>
              <w:contextualSpacing/>
              <w:jc w:val="center"/>
              <w:rPr>
                <w:sz w:val="20"/>
              </w:rPr>
            </w:pPr>
          </w:p>
        </w:tc>
      </w:tr>
    </w:tbl>
    <w:p>
      <w:pPr>
        <w:pStyle w:val="25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 </w:t>
      </w:r>
      <w:r>
        <w:rPr>
          <w:sz w:val="18"/>
          <w:szCs w:val="18"/>
        </w:rPr>
        <w:t>Заполняется один раз в год в отчете на 1 января.</w:t>
      </w:r>
    </w:p>
    <w:p>
      <w:pPr>
        <w:spacing w:before="20"/>
        <w:ind w:left="708"/>
        <w:rPr>
          <w:sz w:val="20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175"/>
        <w:gridCol w:w="273"/>
        <w:gridCol w:w="2181"/>
        <w:gridCol w:w="273"/>
        <w:gridCol w:w="2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085" w:type="dxa"/>
          </w:tcPr>
          <w:p>
            <w:pPr>
              <w:widowControl w:val="0"/>
              <w:tabs>
                <w:tab w:val="left" w:pos="708"/>
              </w:tabs>
              <w:spacing w:line="18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sz w:val="20"/>
              </w:rPr>
              <w:t xml:space="preserve">Должностное лицо, ответственное за предоставление административных данных (лицо, уполномоченное предоставлять административные данные </w:t>
            </w:r>
            <w:r>
              <w:rPr>
                <w:sz w:val="20"/>
              </w:rPr>
              <w:br w:type="textWrapping"/>
            </w:r>
            <w:r>
              <w:rPr>
                <w:sz w:val="20"/>
              </w:rPr>
              <w:t>от имени респондента)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4629" w:type="dxa"/>
            <w:gridSpan w:val="3"/>
          </w:tcPr>
          <w:p>
            <w:pPr>
              <w:widowControl w:val="0"/>
              <w:tabs>
                <w:tab w:val="left" w:pos="708"/>
              </w:tabs>
              <w:spacing w:line="18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Глава Костельцевского сельсовета     А.А.Скиданов</w:t>
            </w:r>
          </w:p>
        </w:tc>
        <w:tc>
          <w:tcPr>
            <w:tcW w:w="2883" w:type="dxa"/>
            <w:gridSpan w:val="2"/>
          </w:tcPr>
          <w:p>
            <w:pPr>
              <w:widowControl w:val="0"/>
              <w:tabs>
                <w:tab w:val="left" w:pos="708"/>
              </w:tabs>
              <w:spacing w:line="180" w:lineRule="exact"/>
              <w:rPr>
                <w:rFonts w:cs="Arial"/>
                <w:sz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085" w:type="dxa"/>
          </w:tcPr>
          <w:p>
            <w:pPr>
              <w:widowControl w:val="0"/>
              <w:tabs>
                <w:tab w:val="left" w:pos="708"/>
              </w:tabs>
              <w:spacing w:line="20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 w:val="0"/>
              <w:spacing w:line="2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(должность)</w:t>
            </w:r>
          </w:p>
          <w:p>
            <w:pPr>
              <w:widowControl w:val="0"/>
              <w:tabs>
                <w:tab w:val="left" w:pos="708"/>
              </w:tabs>
              <w:spacing w:line="200" w:lineRule="exact"/>
              <w:ind w:left="2124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 w:val="0"/>
              <w:spacing w:line="2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(Ф.И.О.)</w:t>
            </w:r>
          </w:p>
          <w:p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73" w:type="dxa"/>
          </w:tcPr>
          <w:p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 w:val="0"/>
              <w:tabs>
                <w:tab w:val="left" w:pos="708"/>
              </w:tabs>
              <w:spacing w:line="2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(подпись)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Header/>
        </w:trPr>
        <w:tc>
          <w:tcPr>
            <w:tcW w:w="3085" w:type="dxa"/>
          </w:tcPr>
          <w:p>
            <w:pPr>
              <w:widowControl w:val="0"/>
              <w:tabs>
                <w:tab w:val="left" w:pos="708"/>
              </w:tabs>
              <w:spacing w:line="22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  <w:vAlign w:val="bottom"/>
          </w:tcPr>
          <w:p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8(47131)96617</w:t>
            </w:r>
          </w:p>
        </w:tc>
        <w:tc>
          <w:tcPr>
            <w:tcW w:w="273" w:type="dxa"/>
          </w:tcPr>
          <w:p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181" w:type="dxa"/>
          </w:tcPr>
          <w:p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E</w:t>
            </w:r>
            <w:r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  <w:lang w:val="en-US"/>
              </w:rPr>
              <w:t>mail</w:t>
            </w:r>
            <w:r>
              <w:rPr>
                <w:rFonts w:cs="Arial"/>
                <w:sz w:val="20"/>
                <w:vertAlign w:val="superscript"/>
              </w:rPr>
              <w:t>3</w:t>
            </w:r>
            <w:r>
              <w:rPr>
                <w:rFonts w:cs="Arial"/>
                <w:sz w:val="20"/>
              </w:rPr>
              <w:t>: ____________</w:t>
            </w:r>
          </w:p>
        </w:tc>
        <w:tc>
          <w:tcPr>
            <w:tcW w:w="273" w:type="dxa"/>
          </w:tcPr>
          <w:p>
            <w:pPr>
              <w:widowControl w:val="0"/>
              <w:tabs>
                <w:tab w:val="left" w:pos="708"/>
              </w:tabs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2610" w:type="dxa"/>
            <w:vAlign w:val="bottom"/>
          </w:tcPr>
          <w:p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«____» _________20__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085" w:type="dxa"/>
          </w:tcPr>
          <w:p>
            <w:pPr>
              <w:widowControl w:val="0"/>
              <w:tabs>
                <w:tab w:val="left" w:pos="708"/>
              </w:tabs>
              <w:spacing w:line="220" w:lineRule="exact"/>
              <w:rPr>
                <w:rFonts w:cs="Arial"/>
                <w:sz w:val="20"/>
              </w:rPr>
            </w:pPr>
          </w:p>
        </w:tc>
        <w:tc>
          <w:tcPr>
            <w:tcW w:w="2175" w:type="dxa"/>
          </w:tcPr>
          <w:p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(номер контактного телефона</w:t>
            </w:r>
            <w:r>
              <w:rPr>
                <w:rFonts w:cs="Arial"/>
                <w:sz w:val="20"/>
                <w:vertAlign w:val="superscript"/>
              </w:rPr>
              <w:t>3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273" w:type="dxa"/>
          </w:tcPr>
          <w:p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181" w:type="dxa"/>
          </w:tcPr>
          <w:p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273" w:type="dxa"/>
          </w:tcPr>
          <w:p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610" w:type="dxa"/>
          </w:tcPr>
          <w:p>
            <w:pPr>
              <w:widowControl w:val="0"/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(дата составления</w:t>
            </w:r>
          </w:p>
          <w:p>
            <w:pPr>
              <w:widowControl w:val="0"/>
              <w:tabs>
                <w:tab w:val="left" w:pos="708"/>
              </w:tabs>
              <w:spacing w:line="24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документа)</w:t>
            </w:r>
          </w:p>
        </w:tc>
      </w:tr>
    </w:tbl>
    <w:p>
      <w:pPr>
        <w:ind w:firstLine="709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_____________________________</w:t>
      </w:r>
    </w:p>
    <w:p>
      <w:pPr>
        <w:ind w:firstLine="709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 xml:space="preserve">2 </w:t>
      </w:r>
      <w:r>
        <w:rPr>
          <w:sz w:val="14"/>
          <w:szCs w:val="14"/>
        </w:rPr>
        <w:t>Предоставление административных данных в соответствии с настоящей формой федерального статистического наблюдения приравнивается к согласию  респондента на их возможную передачу субъектам официального статистического учета в целях формирования ими официальной</w:t>
      </w:r>
      <w:r>
        <w:rPr>
          <w:rFonts w:eastAsia="Calibri"/>
          <w:sz w:val="14"/>
          <w:szCs w:val="14"/>
          <w:lang w:eastAsia="en-US"/>
        </w:rPr>
        <w:t xml:space="preserve"> </w:t>
      </w:r>
      <w:r>
        <w:rPr>
          <w:sz w:val="14"/>
          <w:szCs w:val="14"/>
        </w:rPr>
        <w:t>статистической информации.</w:t>
      </w:r>
    </w:p>
    <w:p>
      <w:pPr>
        <w:ind w:firstLine="709"/>
        <w:jc w:val="both"/>
        <w:rPr>
          <w:sz w:val="14"/>
          <w:szCs w:val="14"/>
        </w:rPr>
      </w:pPr>
      <w:r>
        <w:rPr>
          <w:sz w:val="14"/>
          <w:szCs w:val="14"/>
          <w:vertAlign w:val="superscript"/>
        </w:rPr>
        <w:t xml:space="preserve">3 </w:t>
      </w:r>
      <w:r>
        <w:rPr>
          <w:sz w:val="14"/>
          <w:szCs w:val="14"/>
        </w:rPr>
        <w:t xml:space="preserve">Используется Федеральной службой государственной статистики и ее территориальными органами для дополнительного информирования </w:t>
      </w:r>
      <w:r>
        <w:rPr>
          <w:sz w:val="14"/>
          <w:szCs w:val="14"/>
        </w:rPr>
        <w:br w:type="textWrapping"/>
      </w:r>
      <w:r>
        <w:rPr>
          <w:sz w:val="14"/>
          <w:szCs w:val="14"/>
        </w:rPr>
        <w:t>о проведении в отношении респондента федерального статистического наблюдения по конкретным формам федерального статистического наблюдения, обязательным для предоставления, а также для направления извещений, уведомлений, квитанций и иных юридически значимых сообщений.</w:t>
      </w:r>
    </w:p>
    <w:p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В случае направления формы федерального статистического наблюдения через специального оператора связи вышеуказанное взаимодействие </w:t>
      </w:r>
      <w:r>
        <w:rPr>
          <w:sz w:val="14"/>
          <w:szCs w:val="14"/>
        </w:rPr>
        <w:br w:type="textWrapping"/>
      </w:r>
      <w:r>
        <w:rPr>
          <w:sz w:val="14"/>
          <w:szCs w:val="14"/>
        </w:rPr>
        <w:t>с респондентом может осуществляться также через специального оператора связи.</w:t>
      </w:r>
    </w:p>
    <w:p>
      <w:pPr>
        <w:ind w:firstLine="709"/>
        <w:rPr>
          <w:b/>
          <w:sz w:val="26"/>
        </w:rPr>
      </w:pPr>
    </w:p>
    <w:p>
      <w:pPr>
        <w:ind w:firstLine="709"/>
        <w:rPr>
          <w:b/>
          <w:sz w:val="26"/>
        </w:rPr>
      </w:pPr>
      <w:r>
        <w:rPr>
          <w:b/>
          <w:sz w:val="26"/>
        </w:rPr>
        <w:t>Указания по заполнению формы федерального статистического наблюдения</w:t>
      </w:r>
    </w:p>
    <w:p>
      <w:pPr>
        <w:spacing w:before="120"/>
        <w:ind w:firstLine="709"/>
        <w:jc w:val="both"/>
        <w:rPr>
          <w:szCs w:val="24"/>
        </w:rPr>
      </w:pPr>
      <w:r>
        <w:rPr>
          <w:szCs w:val="24"/>
        </w:rPr>
        <w:t>1. Административные данные (далее – данные) по форме федерального статистического наблюдения № 1-ТОРГ(МО) «</w:t>
      </w:r>
      <w:r>
        <w:rPr>
          <w:bCs/>
          <w:szCs w:val="24"/>
        </w:rPr>
        <w:t xml:space="preserve">Сведения об объектах розничной торговли </w:t>
      </w:r>
      <w:r>
        <w:rPr>
          <w:bCs/>
          <w:szCs w:val="24"/>
        </w:rPr>
        <w:br w:type="textWrapping"/>
      </w:r>
      <w:r>
        <w:rPr>
          <w:bCs/>
          <w:szCs w:val="24"/>
        </w:rPr>
        <w:t>и общественного питания</w:t>
      </w:r>
      <w:r>
        <w:rPr>
          <w:szCs w:val="24"/>
        </w:rPr>
        <w:t xml:space="preserve">» (далее – форма) предоставляют органы местного самоуправления муниципальных образований. </w:t>
      </w:r>
    </w:p>
    <w:p>
      <w:pPr>
        <w:spacing w:line="270" w:lineRule="exact"/>
        <w:ind w:firstLine="709"/>
        <w:jc w:val="both"/>
        <w:rPr>
          <w:szCs w:val="24"/>
        </w:rPr>
      </w:pPr>
      <w:r>
        <w:rPr>
          <w:rFonts w:eastAsia="Calibri"/>
          <w:lang w:eastAsia="en-US"/>
        </w:rPr>
        <w:t xml:space="preserve">Форма предназначена для получения административных данных в соответствии </w:t>
      </w:r>
      <w:r>
        <w:rPr>
          <w:rFonts w:eastAsia="Calibri"/>
          <w:lang w:eastAsia="en-US"/>
        </w:rPr>
        <w:br w:type="textWrapping"/>
      </w:r>
      <w:r>
        <w:rPr>
          <w:rFonts w:eastAsia="Calibri"/>
          <w:lang w:eastAsia="en-US"/>
        </w:rPr>
        <w:t xml:space="preserve">с частью 3 статьи 6 и статьей 8 Федерального закона от 29 ноября 2007 г. № 282-ФЗ </w:t>
      </w:r>
      <w:r>
        <w:rPr>
          <w:rFonts w:eastAsia="Calibri"/>
          <w:lang w:eastAsia="en-US"/>
        </w:rPr>
        <w:br w:type="textWrapping"/>
      </w:r>
      <w:r>
        <w:rPr>
          <w:rFonts w:eastAsia="Calibri"/>
          <w:lang w:eastAsia="en-US"/>
        </w:rPr>
        <w:t>«Об официальном статистическом учете и системе государственной статистики в Российской Федерации» и</w:t>
      </w:r>
      <w:r>
        <w:rPr>
          <w:szCs w:val="24"/>
        </w:rPr>
        <w:t xml:space="preserve"> пунктом 2 Правил предоставления органами местного самоуправления органам государственной власти статистических показателей, характеризующих состояние экономики </w:t>
      </w:r>
      <w:r>
        <w:rPr>
          <w:szCs w:val="24"/>
        </w:rPr>
        <w:br w:type="textWrapping"/>
      </w:r>
      <w:r>
        <w:rPr>
          <w:szCs w:val="24"/>
        </w:rPr>
        <w:t>и социальной сферы муниципального образования, утвержденных постановлением Правительства Российской Федерации от 11 ноября 2006 г. № 670 «О порядке предоставления органами местного самоуправления органам государственной власти статистических показателей, характеризующих состояние экономики и социальной сферы муниципального образования».</w:t>
      </w:r>
    </w:p>
    <w:p>
      <w:pPr>
        <w:ind w:firstLine="709"/>
        <w:jc w:val="both"/>
        <w:rPr>
          <w:szCs w:val="24"/>
        </w:rPr>
      </w:pPr>
      <w:r>
        <w:rPr>
          <w:rFonts w:eastAsia="Calibri"/>
          <w:lang w:eastAsia="en-US"/>
        </w:rPr>
        <w:t>Административные данные, предоставленные в соответствии с настоящей формой, могут быть переданы иным федеральным органам исполнительной власти по их запросу.</w:t>
      </w:r>
    </w:p>
    <w:p>
      <w:pPr>
        <w:tabs>
          <w:tab w:val="left" w:pos="643"/>
        </w:tabs>
        <w:autoSpaceDE w:val="0"/>
        <w:autoSpaceDN w:val="0"/>
        <w:spacing w:line="270" w:lineRule="exact"/>
        <w:ind w:firstLine="709"/>
        <w:jc w:val="both"/>
        <w:rPr>
          <w:szCs w:val="24"/>
        </w:rPr>
      </w:pPr>
      <w:r>
        <w:rPr>
          <w:szCs w:val="24"/>
        </w:rPr>
        <w:t>2. В адресной части указывается полное наименование отчитывающейся организации</w:t>
      </w:r>
      <w:r>
        <w:rPr>
          <w:szCs w:val="24"/>
        </w:rPr>
        <w:br w:type="textWrapping"/>
      </w:r>
      <w:r>
        <w:rPr>
          <w:szCs w:val="24"/>
        </w:rPr>
        <w:t xml:space="preserve">в соответствии с учредительными документами, зарегистрированными в установленном порядке, а затем в скобках – краткое наименование. </w:t>
      </w:r>
    </w:p>
    <w:p>
      <w:pPr>
        <w:spacing w:line="270" w:lineRule="exact"/>
        <w:ind w:firstLine="709"/>
        <w:jc w:val="both"/>
        <w:rPr>
          <w:sz w:val="28"/>
          <w:szCs w:val="28"/>
        </w:rPr>
      </w:pPr>
      <w:r>
        <w:rPr>
          <w:szCs w:val="24"/>
        </w:rPr>
        <w:t>По строке «Почтовый адрес» указывается наименование</w:t>
      </w:r>
      <w:r>
        <w:t xml:space="preserve"> субъекта Российской Федерации, юридический адрес с почтовым индексом, указанный в ЕГРЮЛ; либо адрес, </w:t>
      </w:r>
      <w:r>
        <w:br w:type="textWrapping"/>
      </w:r>
      <w:r>
        <w:t xml:space="preserve">по которому юридическое лицо фактически осуществляет свою деятельность, если он </w:t>
      </w:r>
      <w:r>
        <w:br w:type="textWrapping"/>
      </w:r>
      <w:r>
        <w:t xml:space="preserve">не совпадает с юридическим адресом. </w:t>
      </w:r>
    </w:p>
    <w:p>
      <w:pPr>
        <w:spacing w:line="270" w:lineRule="exact"/>
        <w:ind w:firstLine="709"/>
        <w:jc w:val="both"/>
      </w:pPr>
      <w:r>
        <w:t xml:space="preserve">В графе 2 кодовой части титульного листа формы на основании Уведомления </w:t>
      </w:r>
      <w:r>
        <w:br w:type="textWrapping"/>
      </w:r>
      <w:r>
        <w:t xml:space="preserve">о присвоении кода ОКПО, размещенного на сайте системы сбора отчетности Росстата </w:t>
      </w:r>
      <w:r>
        <w:br w:type="textWrapping"/>
      </w:r>
      <w:r>
        <w:t>в информационно-телекоммуникационной сети «Интернет» по адресу: https://websbor.gks.ru/online/</w:t>
      </w:r>
      <w:r>
        <w:rPr>
          <w:lang w:val="en-US"/>
        </w:rPr>
        <w:t>info</w:t>
      </w:r>
      <w:r>
        <w:t xml:space="preserve">, отчитывающейся организации проставляется код </w:t>
      </w:r>
      <w:r>
        <w:br w:type="textWrapping"/>
      </w:r>
      <w:r>
        <w:t xml:space="preserve">по Общероссийскому классификатору предприятий и организаций (ОКПО). </w:t>
      </w:r>
    </w:p>
    <w:p>
      <w:pPr>
        <w:spacing w:line="270" w:lineRule="exact"/>
        <w:ind w:firstLine="708"/>
        <w:jc w:val="both"/>
      </w:pPr>
      <w:r>
        <w:t>В графе 3 кодовой части формы титульного листа проставляется код типа муниципального образования: муниципальный район – 13, муниципальный округ – 20, городской округ – 15, городской округ с внутригородским делением – 16, внутригородской район – 17, внутригородская территория (внутригородское муниципальное образование) города федерального значения – 12, городское поселение – 10, сельское поселение – 11.</w:t>
      </w:r>
    </w:p>
    <w:p>
      <w:pPr>
        <w:spacing w:line="270" w:lineRule="exact"/>
        <w:ind w:firstLine="708"/>
        <w:jc w:val="both"/>
      </w:pPr>
      <w:r>
        <w:t>В графе 4 кодовой части</w:t>
      </w:r>
      <w:r>
        <w:rPr>
          <w:b/>
        </w:rPr>
        <w:t xml:space="preserve"> </w:t>
      </w:r>
      <w:r>
        <w:t>формы титульного листа проставляется код ОКТМО муниципального образования, за которое предоставляются данные.</w:t>
      </w:r>
    </w:p>
    <w:p>
      <w:pPr>
        <w:spacing w:line="270" w:lineRule="exact"/>
        <w:ind w:firstLine="709"/>
        <w:jc w:val="both"/>
      </w:pPr>
      <w:r>
        <w:t xml:space="preserve">3. В форме приводятся данные по организациям, расположенным на территории муниципального образования, независимо от подчиненности и источников финансирования. </w:t>
      </w:r>
    </w:p>
    <w:p>
      <w:pPr>
        <w:spacing w:line="270" w:lineRule="exact"/>
        <w:ind w:firstLine="709"/>
        <w:jc w:val="both"/>
      </w:pPr>
      <w:r>
        <w:t xml:space="preserve">С целью получения данных по муниципальному району рекомендуем городским </w:t>
      </w:r>
      <w:r>
        <w:br w:type="textWrapping"/>
      </w:r>
      <w:r>
        <w:t>и сельским поселениям, входящим в его состав, оказать содействие администрации муниципального района в сборе данных.</w:t>
      </w:r>
    </w:p>
    <w:p>
      <w:pPr>
        <w:spacing w:line="270" w:lineRule="exact"/>
        <w:ind w:firstLine="709"/>
        <w:jc w:val="both"/>
      </w:pPr>
      <w:r>
        <w:t xml:space="preserve">По муниципальным образованиям, наделенным статусом муниципального района, имеющим в своем составе городские и сельские поселения и не имеющим межселенной территории, предоставляется сводный отчет, обобщающий входящие в его состав городские </w:t>
      </w:r>
      <w:r>
        <w:br w:type="textWrapping"/>
      </w:r>
      <w:r>
        <w:t>и сельские поселения.</w:t>
      </w:r>
    </w:p>
    <w:p>
      <w:pPr>
        <w:spacing w:line="270" w:lineRule="exact"/>
        <w:ind w:firstLine="709"/>
        <w:jc w:val="both"/>
      </w:pPr>
      <w:r>
        <w:t xml:space="preserve">Сводные данные по муниципальному району, имеющему в своем составе межселенную территорию, должны включать данные по городским, сельским поселениям и данные </w:t>
      </w:r>
      <w:r>
        <w:br w:type="textWrapping"/>
      </w:r>
      <w:r>
        <w:t>по межселенной территории.</w:t>
      </w:r>
    </w:p>
    <w:p>
      <w:pPr>
        <w:spacing w:line="270" w:lineRule="exact"/>
        <w:ind w:firstLine="709"/>
        <w:jc w:val="both"/>
      </w:pPr>
      <w:r>
        <w:t xml:space="preserve">Графа 2 заполняется только по муниципальным районам, муниципальным округам </w:t>
      </w:r>
      <w:r>
        <w:br w:type="textWrapping"/>
      </w:r>
      <w:r>
        <w:t xml:space="preserve">и городским округам. По графе 2 показываются сводные данные по сельским территориям. </w:t>
      </w:r>
      <w:r>
        <w:br w:type="textWrapping"/>
      </w:r>
      <w:r>
        <w:t xml:space="preserve">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</w:t>
      </w:r>
      <w:r>
        <w:br w:type="textWrapping"/>
      </w:r>
      <w:r>
        <w:t>от 31 мая 2019 г. № 696,</w:t>
      </w:r>
      <w:r>
        <w:rPr>
          <w:sz w:val="18"/>
          <w:szCs w:val="18"/>
        </w:rPr>
        <w:t xml:space="preserve"> </w:t>
      </w:r>
      <w:r>
        <w:t xml:space="preserve">«сельские территории – сельские поселения или сельские поселения </w:t>
      </w:r>
      <w:r>
        <w:br w:type="textWrapping"/>
      </w:r>
      <w:r>
        <w:t xml:space="preserve">и межселенные территории, объединенные общей территорией в границах муниципального района; сельские населенные пункты, входящие в состав городских поселений, муниципальных округов, городских округов (за исключением городских округов, на территориях которых находятся административные центры субъектов Российской Федерации); сельские населенные пункты, входящие в состав внутригородских муниципальных образований г. Севастополя; рабочие поселки, наделенные статусом городских поселений; рабочие поселки, входящие </w:t>
      </w:r>
      <w:r>
        <w:br w:type="textWrapping"/>
      </w:r>
      <w:r>
        <w:t xml:space="preserve">в состав городских поселений, муниципальных округов, городских округов (за исключением городских округов, на территориях которых находятся административные центры субъектов Российской Федерации). Перечень таких сельских населенных пунктов и рабочих поселков </w:t>
      </w:r>
      <w:r>
        <w:br w:type="textWrapping"/>
      </w:r>
      <w:r>
        <w:t>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Федерации, уполномоченным высшим исполнительным органом субъекта Российской Федерации (далее – орган исполнительной власти).</w:t>
      </w:r>
    </w:p>
    <w:p>
      <w:pPr>
        <w:spacing w:line="270" w:lineRule="exact"/>
        <w:ind w:firstLine="709"/>
        <w:jc w:val="both"/>
      </w:pPr>
      <w:r>
        <w:t xml:space="preserve">В указанное понятие не входят внутригородские муниципальные образования </w:t>
      </w:r>
      <w:r>
        <w:br w:type="textWrapping"/>
      </w:r>
      <w:r>
        <w:t>гг. Москвы и Санкт-Петербурга».</w:t>
      </w:r>
    </w:p>
    <w:p>
      <w:pPr>
        <w:spacing w:line="270" w:lineRule="exact"/>
        <w:ind w:firstLine="709"/>
        <w:jc w:val="both"/>
      </w:pPr>
      <w:r>
        <w:t xml:space="preserve">4. Данные строк 02, 04, 06, 08, 10, 12, 14, 16, 18, 22, 26, 29, 32 показываются </w:t>
      </w:r>
      <w:r>
        <w:br w:type="textWrapping"/>
      </w:r>
      <w:r>
        <w:t xml:space="preserve">с одним десятичным знаком; остальные – в целых числах. </w:t>
      </w:r>
    </w:p>
    <w:p>
      <w:pPr>
        <w:spacing w:line="270" w:lineRule="exact"/>
        <w:ind w:firstLine="709"/>
        <w:jc w:val="both"/>
      </w:pPr>
      <w:r>
        <w:t>Данные заполняются по всем объектам розничной торговли и общественного питания, находящимся на территории муниципального образования и функционирующим по состоянию на отчетную дату. В данном разделе учитываются собственные и арендованные объекты розничной торговли и общественного питания организаций, независимо от их организационно-правовой формы, индивидуальных предпринимателей и самозанятых.</w:t>
      </w:r>
    </w:p>
    <w:p>
      <w:pPr>
        <w:spacing w:line="270" w:lineRule="exact"/>
        <w:ind w:firstLine="709"/>
        <w:jc w:val="both"/>
      </w:pPr>
      <w:r>
        <w:t xml:space="preserve">5. Определения объектов торговли и общественного питания приведены на основе «ГОСТ Р 51303-2013. Национальный стандарт Российской Федерации. Торговля. Термины </w:t>
      </w:r>
      <w:r>
        <w:br w:type="textWrapping"/>
      </w:r>
      <w:r>
        <w:t xml:space="preserve">и определения», утвержденный приказом Росстандарта от 28 августа 2013 г. № 582-ст, </w:t>
      </w:r>
      <w:r>
        <w:br w:type="textWrapping"/>
      </w:r>
      <w:r>
        <w:t xml:space="preserve">«ГОСТ 30389-2013. Межгосударственный стандарт. Услуги общественного питания. Предприятия общественного питания. Классификация и общие требования», введенный </w:t>
      </w:r>
      <w:r>
        <w:br w:type="textWrapping"/>
      </w:r>
      <w:r>
        <w:t>в действие приказом Росстандарта от 22 ноября 2013 г. № 1676-ст.</w:t>
      </w:r>
    </w:p>
    <w:p>
      <w:pPr>
        <w:spacing w:line="270" w:lineRule="exact"/>
        <w:ind w:firstLine="709"/>
        <w:jc w:val="both"/>
      </w:pPr>
      <w:r>
        <w:t xml:space="preserve">По строке 01 указываются данные о количестве магазинов. </w:t>
      </w:r>
    </w:p>
    <w:p>
      <w:pPr>
        <w:spacing w:line="270" w:lineRule="exact"/>
        <w:ind w:firstLine="709"/>
        <w:jc w:val="both"/>
      </w:pPr>
      <w:r>
        <w:t>Магазин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стационарный торговый объект, предназначенный для продажи товаров</w:t>
      </w:r>
      <w:r>
        <w:br w:type="textWrapping"/>
      </w:r>
      <w:r>
        <w:t>и оказания услуг покупателям, в составе которого имеются торговые залы, подсобные, административно-бытовые помещения и складские помещения.</w:t>
      </w:r>
    </w:p>
    <w:p>
      <w:pPr>
        <w:spacing w:line="270" w:lineRule="exact"/>
        <w:ind w:firstLine="709"/>
        <w:jc w:val="both"/>
      </w:pPr>
      <w:r>
        <w:t>Строка 03 г</w:t>
      </w:r>
      <w:r>
        <w:rPr>
          <w:bCs/>
        </w:rPr>
        <w:t>ипермаркеты</w:t>
      </w:r>
      <w:r>
        <w:rPr>
          <w:b/>
          <w:bCs/>
        </w:rPr>
        <w:t xml:space="preserve"> </w:t>
      </w:r>
      <w:r>
        <w:t>–</w:t>
      </w:r>
      <w:r>
        <w:rPr>
          <w:b/>
          <w:bCs/>
        </w:rPr>
        <w:t xml:space="preserve"> </w:t>
      </w:r>
      <w:r>
        <w:t>магазины с площадью торгового зала от 5000 м</w:t>
      </w:r>
      <w:r>
        <w:rPr>
          <w:vertAlign w:val="superscript"/>
        </w:rPr>
        <w:t>2</w:t>
      </w:r>
      <w:r>
        <w:t>, в которых осуществляют продажу продовольственных и непродовольственных товаров универсального ассортимента преимущественно по методу самообслуживания.</w:t>
      </w:r>
    </w:p>
    <w:p>
      <w:pPr>
        <w:spacing w:line="270" w:lineRule="exact"/>
        <w:ind w:firstLine="709"/>
        <w:jc w:val="both"/>
      </w:pPr>
      <w:r>
        <w:t xml:space="preserve">Строка 05 </w:t>
      </w:r>
      <w:r>
        <w:rPr>
          <w:bCs/>
        </w:rPr>
        <w:t>супермаркеты</w:t>
      </w:r>
      <w:r>
        <w:t xml:space="preserve"> (</w:t>
      </w:r>
      <w:r>
        <w:rPr>
          <w:iCs/>
        </w:rPr>
        <w:t>универсамы</w:t>
      </w:r>
      <w:r>
        <w:t>) – магазины с площадью торгового зала</w:t>
      </w:r>
      <w:r>
        <w:br w:type="textWrapping"/>
      </w:r>
      <w:r>
        <w:t>от 400 м</w:t>
      </w:r>
      <w:r>
        <w:rPr>
          <w:vertAlign w:val="superscript"/>
        </w:rPr>
        <w:t>2</w:t>
      </w:r>
      <w:r>
        <w:t>, в которых осуществляют продажу продовольственных и непродовольственных товаров повседневного спроса преимущественно по методу самообслуживания. По данной строке также учитываются магазины «Гастроном».</w:t>
      </w:r>
    </w:p>
    <w:p>
      <w:pPr>
        <w:spacing w:line="270" w:lineRule="exact"/>
        <w:ind w:firstLine="709"/>
        <w:jc w:val="both"/>
      </w:pPr>
      <w:r>
        <w:rPr>
          <w:rFonts w:cs="Calibri"/>
        </w:rPr>
        <w:t xml:space="preserve">Гастроном </w:t>
      </w:r>
      <w:r>
        <w:t>–</w:t>
      </w:r>
      <w:r>
        <w:rPr>
          <w:rFonts w:cs="Calibri"/>
        </w:rPr>
        <w:t xml:space="preserve"> магазин с площадью торгового зала от 400 м</w:t>
      </w:r>
      <w:r>
        <w:rPr>
          <w:rFonts w:cs="Calibri"/>
          <w:vertAlign w:val="superscript"/>
        </w:rPr>
        <w:t>2</w:t>
      </w:r>
      <w:r>
        <w:rPr>
          <w:rFonts w:cs="Calibri"/>
        </w:rPr>
        <w:t>, в котором осуществляют продажу продовольственных товаров универсального ассортимента с преобладанием гастрономических товаров (например, сыров, колбасных изделий, фруктов, вино-водочных изделий и безалкогольных напитков) преимущественно с использованием индивидуального обслуживания покупателей через прилавок.</w:t>
      </w:r>
    </w:p>
    <w:p>
      <w:pPr>
        <w:spacing w:line="270" w:lineRule="exact"/>
        <w:ind w:firstLine="709"/>
        <w:jc w:val="both"/>
      </w:pPr>
      <w:r>
        <w:t>Строка 07 специализированные продовольственные магазины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магазины,</w:t>
      </w:r>
      <w:r>
        <w:br w:type="textWrapping"/>
      </w:r>
      <w:r>
        <w:t>в которых осуществляется продажа товаров одной продовольственной группы или ее части («рыба», «мясо», «колбасы», «минеральные воды», «хлеб», «овощи-фрукты» и так далее).</w:t>
      </w:r>
      <w:r>
        <w:br w:type="textWrapping"/>
      </w:r>
      <w:r>
        <w:t>По данной строке также учитываются магазины-салоны (бутики).</w:t>
      </w:r>
    </w:p>
    <w:p>
      <w:pPr>
        <w:spacing w:line="270" w:lineRule="exact"/>
        <w:ind w:firstLine="709"/>
        <w:jc w:val="both"/>
      </w:pPr>
      <w:r>
        <w:t>Строка 09 специализированные непродовольственные магазины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магазины,</w:t>
      </w:r>
      <w:r>
        <w:br w:type="textWrapping"/>
      </w:r>
      <w:r>
        <w:t>в которых осуществляется продажа товаров одной непродовольственной группы или ее части («одежда», «обувь», «ткани», «мебель», «книги», «зоотовары», «семена», «цветы» и так далее). По данной строке также учитываются магазины-салоны (бутики).</w:t>
      </w:r>
    </w:p>
    <w:p>
      <w:pPr>
        <w:spacing w:line="270" w:lineRule="exact"/>
        <w:ind w:firstLine="709"/>
        <w:jc w:val="both"/>
      </w:pPr>
      <w:r>
        <w:t xml:space="preserve">Строка 11 </w:t>
      </w:r>
      <w:r>
        <w:rPr>
          <w:bCs/>
        </w:rPr>
        <w:t>минимаркеты</w:t>
      </w:r>
      <w:r>
        <w:t xml:space="preserve"> (</w:t>
      </w:r>
      <w:r>
        <w:rPr>
          <w:iCs/>
        </w:rPr>
        <w:t>магазины «Продукты»</w:t>
      </w:r>
      <w:r>
        <w:t xml:space="preserve">) – предприятия розничной торговли, </w:t>
      </w:r>
      <w:r>
        <w:br w:type="textWrapping"/>
      </w:r>
      <w:r>
        <w:t>в которых с использованием методов самообслуживания и/или индивидуального обслуживания через прилавок осуществляют продажу продовольственных и/или непродовольственных товаров повседневного спроса узкого ассортимента, включающего ограниченное число разновидностей товаров.</w:t>
      </w:r>
    </w:p>
    <w:p>
      <w:pPr>
        <w:spacing w:line="270" w:lineRule="exact"/>
        <w:ind w:firstLine="709"/>
        <w:jc w:val="both"/>
      </w:pPr>
      <w:r>
        <w:t>Строка 13 универмаги</w:t>
      </w:r>
      <w:r>
        <w:rPr>
          <w:b/>
        </w:rPr>
        <w:t xml:space="preserve"> </w:t>
      </w:r>
      <w:r>
        <w:t>–</w:t>
      </w:r>
      <w:r>
        <w:rPr>
          <w:b/>
          <w:bCs/>
        </w:rPr>
        <w:t xml:space="preserve"> </w:t>
      </w:r>
      <w:r>
        <w:t>магазины с совокупной площадью торговых залов от 3500 м</w:t>
      </w:r>
      <w:r>
        <w:rPr>
          <w:vertAlign w:val="superscript"/>
        </w:rPr>
        <w:t xml:space="preserve">2 </w:t>
      </w:r>
      <w:r>
        <w:rPr>
          <w:vertAlign w:val="superscript"/>
        </w:rPr>
        <w:br w:type="textWrapping"/>
      </w:r>
      <w:r>
        <w:t>в городском населенном пункте и от 650 м</w:t>
      </w:r>
      <w:r>
        <w:rPr>
          <w:vertAlign w:val="superscript"/>
        </w:rPr>
        <w:t>2</w:t>
      </w:r>
      <w:r>
        <w:t xml:space="preserve"> в сельском населенном пункте, в которых осуществляют продажу непродовольственных товаров универсального ассортимента.</w:t>
      </w:r>
    </w:p>
    <w:p>
      <w:pPr>
        <w:spacing w:line="270" w:lineRule="exact"/>
        <w:ind w:firstLine="709"/>
        <w:jc w:val="both"/>
      </w:pPr>
      <w:r>
        <w:t>Строка 15 прочие магазины – предприятия розничной торговли, реализующие товары  нескольких непродовольственных групп («Промтовары», «Все для дома», «Комиссионный магазин», «Секонд Хенд», «Сток», антикварные магазины, «Медтехника» и прочие). По этой строке также отражаются «Магазины-склады». В сельской местности по строке 15 учитываются также торговые центры, в которые преобразованы бывшие розничные рынки.</w:t>
      </w:r>
    </w:p>
    <w:p>
      <w:pPr>
        <w:spacing w:line="270" w:lineRule="exact"/>
        <w:ind w:firstLine="709"/>
        <w:jc w:val="both"/>
      </w:pPr>
      <w:r>
        <w:t>По строке 17 указываются данные о количестве павильонов.</w:t>
      </w:r>
    </w:p>
    <w:p>
      <w:pPr>
        <w:spacing w:line="270" w:lineRule="exact"/>
        <w:ind w:firstLine="709"/>
        <w:jc w:val="both"/>
      </w:pPr>
      <w:r>
        <w:rPr>
          <w:rFonts w:cs="Calibri"/>
        </w:rPr>
        <w:t xml:space="preserve">Торговый павильон </w:t>
      </w:r>
      <w:r>
        <w:t>–</w:t>
      </w:r>
      <w:r>
        <w:rPr>
          <w:rFonts w:cs="Calibri"/>
        </w:rPr>
        <w:t xml:space="preserve">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запаса.</w:t>
      </w:r>
    </w:p>
    <w:p>
      <w:pPr>
        <w:spacing w:line="270" w:lineRule="exact"/>
        <w:ind w:firstLine="709"/>
        <w:jc w:val="both"/>
        <w:rPr>
          <w:b/>
          <w:bCs/>
        </w:rPr>
      </w:pPr>
      <w:r>
        <w:t>По строке 19 указываются данные о количестве палаток, по строке 20 – количество киосков.</w:t>
      </w:r>
    </w:p>
    <w:p>
      <w:pPr>
        <w:spacing w:line="270" w:lineRule="exact"/>
        <w:ind w:firstLine="709"/>
        <w:jc w:val="both"/>
      </w:pPr>
      <w:r>
        <w:rPr>
          <w:bCs/>
        </w:rPr>
        <w:t>Торговая палатка</w:t>
      </w:r>
      <w:r>
        <w:rPr>
          <w:b/>
          <w:bCs/>
        </w:rPr>
        <w:t xml:space="preserve"> </w:t>
      </w:r>
      <w:r>
        <w:t>–</w:t>
      </w:r>
      <w:r>
        <w:rPr>
          <w:b/>
          <w:bCs/>
        </w:rPr>
        <w:t xml:space="preserve"> </w:t>
      </w:r>
      <w:r>
        <w:rPr>
          <w:bCs/>
        </w:rPr>
        <w:t>н</w:t>
      </w:r>
      <w:r>
        <w:t>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торговли.</w:t>
      </w:r>
    </w:p>
    <w:p>
      <w:pPr>
        <w:spacing w:line="270" w:lineRule="exact"/>
        <w:ind w:firstLine="709"/>
        <w:jc w:val="both"/>
      </w:pPr>
      <w:r>
        <w:rPr>
          <w:bCs/>
        </w:rPr>
        <w:t>Киоск</w:t>
      </w:r>
      <w:r>
        <w:rPr>
          <w:b/>
          <w:bCs/>
        </w:rPr>
        <w:t xml:space="preserve"> </w:t>
      </w:r>
      <w:r>
        <w:t>–</w:t>
      </w:r>
      <w:r>
        <w:rPr>
          <w:b/>
          <w:bCs/>
        </w:rPr>
        <w:t xml:space="preserve"> </w:t>
      </w:r>
      <w:r>
        <w:t>нестационарный торговый объект, представляющий собой сооружение</w:t>
      </w:r>
      <w:r>
        <w:br w:type="textWrapping"/>
      </w:r>
      <w:r>
        <w:t>без торгового зала с замкнутым пространством, внутри которого оборудовано одно рабочее место продавца и осуществляют хранение товарного запаса.</w:t>
      </w:r>
    </w:p>
    <w:p>
      <w:pPr>
        <w:spacing w:line="270" w:lineRule="exact"/>
        <w:ind w:firstLine="709"/>
        <w:jc w:val="both"/>
      </w:pPr>
      <w:r>
        <w:t xml:space="preserve">Данные о количестве передвижных палаток и киосков (например, по продаже кваса, </w:t>
      </w:r>
      <w:r>
        <w:br w:type="textWrapping"/>
      </w:r>
      <w:r>
        <w:t>кур-гриль, мороженого), а также палаток и киосков, реализующих проездные билеты на все виды транспорта, в строках 19 и 20 не отражаются.</w:t>
      </w:r>
    </w:p>
    <w:p>
      <w:pPr>
        <w:spacing w:line="270" w:lineRule="exact"/>
        <w:ind w:firstLine="709"/>
        <w:jc w:val="both"/>
      </w:pPr>
      <w:r>
        <w:t xml:space="preserve">По строке 21 учитываются данные об аптеках и аптечных магазинов, включая магазины «Оптика». По данной строке не учитываются ветеринарные аптеки, которые отражаются </w:t>
      </w:r>
      <w:r>
        <w:br w:type="textWrapping"/>
      </w:r>
      <w:r>
        <w:t xml:space="preserve">по строкам 15 и 16. </w:t>
      </w:r>
    </w:p>
    <w:p>
      <w:pPr>
        <w:spacing w:line="270" w:lineRule="exact"/>
        <w:ind w:firstLine="709"/>
        <w:jc w:val="both"/>
      </w:pPr>
      <w:r>
        <w:t>В строках 02, 04, 06, 08, 10, 12, 14, 16, 18, 22</w:t>
      </w:r>
      <w:r>
        <w:rPr>
          <w:b/>
        </w:rPr>
        <w:t xml:space="preserve"> </w:t>
      </w:r>
      <w:r>
        <w:t>указываются данные о площади торгового зала (зала для обслуживания покупателей). В нее включается  установочная площадь магазина (площадь торгового зала, занятая оборудованием, предназначенным для выкладки, демонстрации товаров, проведения денежных расчетов и обслуживания покупателей), площадь контрольно-кассовых узлов и кассовых кабин, площадь рабочих мест обслуживающего персонала, а также площадь проходов для покупателей. В площадь торгового зала магазина</w:t>
      </w:r>
      <w:r>
        <w:br w:type="textWrapping"/>
      </w:r>
      <w:r>
        <w:t>не включается площадь для приема, хранения и подготовки товаров к продаже, подсобных</w:t>
      </w:r>
      <w:r>
        <w:br w:type="textWrapping"/>
      </w:r>
      <w:r>
        <w:t>и административно-бытовых помещений.</w:t>
      </w:r>
    </w:p>
    <w:p>
      <w:pPr>
        <w:spacing w:line="270" w:lineRule="exact"/>
        <w:ind w:firstLine="709"/>
        <w:jc w:val="both"/>
        <w:rPr>
          <w:b/>
        </w:rPr>
      </w:pPr>
      <w:r>
        <w:t>Объекты розничной торговли, расположенные в торговых центрах, торговых комплексах, аутлет-центрах и моллах, учитываются в строках 01</w:t>
      </w:r>
      <w:r>
        <w:rPr/>
        <w:sym w:font="Symbol" w:char="F02D"/>
      </w:r>
      <w:r>
        <w:t>23. При этом необходимо учитывать следующее.</w:t>
      </w:r>
    </w:p>
    <w:p>
      <w:pPr>
        <w:spacing w:line="270" w:lineRule="exact"/>
        <w:ind w:firstLine="709"/>
        <w:jc w:val="both"/>
      </w:pPr>
      <w:r>
        <w:t>Торговый центр – совокупность торговых предприятий и/или предприятий</w:t>
      </w:r>
      <w:r>
        <w:br w:type="textWrapping"/>
      </w:r>
      <w:r>
        <w:t>по оказанию услуг, реализующих универсальный или специализированный ассортимент товаров и универсальный ассортимент услуг, расположенных на определенной территории</w:t>
      </w:r>
      <w:r>
        <w:br w:type="textWrapping"/>
      </w:r>
      <w:r>
        <w:t>в зданиях или строениях, спланированных, построенных и управляемых как единое целое</w:t>
      </w:r>
      <w:r>
        <w:br w:type="textWrapping"/>
      </w:r>
      <w:r>
        <w:t>и предоставляющих в границах своей территории стоянку для автомашин.</w:t>
      </w:r>
    </w:p>
    <w:p>
      <w:pPr>
        <w:spacing w:line="270" w:lineRule="exact"/>
        <w:ind w:firstLine="709"/>
        <w:jc w:val="both"/>
      </w:pPr>
      <w:r>
        <w:t>Торговый комплекс – совокупность торговых предприятий, реализующих товары</w:t>
      </w:r>
      <w:r>
        <w:br w:type="textWrapping"/>
      </w:r>
      <w:r>
        <w:t>и оказывающих услуги, расположенные на определенной территории и централизующие функции хозяйственного обслуживания торговой деятельности.</w:t>
      </w:r>
    </w:p>
    <w:p>
      <w:pPr>
        <w:spacing w:line="270" w:lineRule="exact"/>
        <w:ind w:firstLine="709"/>
        <w:jc w:val="both"/>
      </w:pPr>
      <w:r>
        <w:t>Под функциями хозяйственного обслуживания подразумевается инженерное обеспечение (электроосвещение, тепло- и водоснабжение, канализация, средства связи), ремонт зданий, сооружений и оборудования, уборка мусора, охрана торговых объектов, организация питания служащих.</w:t>
      </w:r>
    </w:p>
    <w:p>
      <w:pPr>
        <w:spacing w:line="270" w:lineRule="exact"/>
        <w:ind w:firstLine="709"/>
        <w:jc w:val="both"/>
      </w:pPr>
      <w:r>
        <w:t>Аутлет-центр – торговый центр с общей площадью свыше 5000 м</w:t>
      </w:r>
      <w:r>
        <w:rPr>
          <w:vertAlign w:val="superscript"/>
        </w:rPr>
        <w:t>2</w:t>
      </w:r>
      <w:r>
        <w:t>, в котором осуществляют продажу непродовольственных товаров из коллекций (групп товаров, выпущенных в обращение под единым товарным знаком или маркой), не проданных в течение сезона или нескольких сезонов в торговых предприятиях первоначального размещения коллекций, по цене, ниже установленной при продаже товаров в сезон распродажи.</w:t>
      </w:r>
    </w:p>
    <w:p>
      <w:pPr>
        <w:spacing w:line="270" w:lineRule="exact"/>
        <w:ind w:firstLine="709"/>
        <w:jc w:val="both"/>
      </w:pPr>
      <w:r>
        <w:t>Молл – многофункциональный торгово-развлекательный центр общей площадью</w:t>
      </w:r>
      <w:r>
        <w:br w:type="textWrapping"/>
      </w:r>
      <w:r>
        <w:t>от 100 000 м</w:t>
      </w:r>
      <w:r>
        <w:rPr>
          <w:vertAlign w:val="superscript"/>
        </w:rPr>
        <w:t>2</w:t>
      </w:r>
      <w:r>
        <w:t>.</w:t>
      </w:r>
    </w:p>
    <w:p>
      <w:pPr>
        <w:spacing w:line="270" w:lineRule="exact"/>
        <w:ind w:firstLine="709"/>
        <w:jc w:val="both"/>
      </w:pPr>
      <w:r>
        <w:t>По строкам 24 и 27 указывается количество столовых и закусочных. По строке 27</w:t>
      </w:r>
      <w:r>
        <w:rPr>
          <w:b/>
        </w:rPr>
        <w:t xml:space="preserve"> </w:t>
      </w:r>
      <w:r>
        <w:t xml:space="preserve">указывается количество столовых учебных заведений, промышленных предприятий, организаций социальной сферы (например, больниц, детских домов, домов-интернатов) </w:t>
      </w:r>
      <w:r>
        <w:br w:type="textWrapping"/>
      </w:r>
      <w:r>
        <w:t>и других организаций. В случае, если организации социальной сферы организуют потребление продукции общественного питания, но при этом не имеют специально отведенных для этих целей помещений, то данные по ним в строке 27 не отражаются.</w:t>
      </w:r>
    </w:p>
    <w:p>
      <w:pPr>
        <w:spacing w:line="270" w:lineRule="exact"/>
        <w:ind w:firstLine="709"/>
        <w:jc w:val="both"/>
      </w:pPr>
      <w:r>
        <w:t xml:space="preserve">Столовая – предприятие (объект) общественного питания, осуществляющее приготовление и реализацию с потреблением на месте разнообразных блюд и кулинарных изделий в соответствии с меню, различающимся по дням недели. </w:t>
      </w:r>
    </w:p>
    <w:p>
      <w:pPr>
        <w:spacing w:line="270" w:lineRule="exact"/>
        <w:ind w:firstLine="709"/>
        <w:jc w:val="both"/>
      </w:pPr>
      <w:r>
        <w:t>Закусочная – предприятие (объект) питания с ограниченным ассортиментом блюд</w:t>
      </w:r>
      <w:r>
        <w:br w:type="textWrapping"/>
      </w:r>
      <w:r>
        <w:t xml:space="preserve">и изделий несложного изготовления и предназначенное для быстрого обслуживания потребителей, с возможной реализацией алкогольных напитков, покупных товаров (например, шашлычная, котлетная, сосисочная, пельменная (вареничная), чебуречная, чайная, пирожковая, блинная, пончиковая, бутербродная, рюмочная). </w:t>
      </w:r>
    </w:p>
    <w:p>
      <w:pPr>
        <w:spacing w:line="270" w:lineRule="exact"/>
        <w:ind w:firstLine="709"/>
        <w:jc w:val="both"/>
      </w:pPr>
      <w:r>
        <w:t>В строках 25 и 28 указываются данные о числе мест, определяемое по числу посетителей, на одновременное обслуживание которых рассчитан объект общественного питания.</w:t>
      </w:r>
    </w:p>
    <w:p>
      <w:pPr>
        <w:spacing w:line="270" w:lineRule="exact"/>
        <w:ind w:firstLine="709"/>
        <w:jc w:val="both"/>
      </w:pPr>
      <w:r>
        <w:t>В строке 30 указываются данные о количестве ресторанов, кафе и баров; в строке 31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 xml:space="preserve">число мест в них. </w:t>
      </w:r>
    </w:p>
    <w:p>
      <w:pPr>
        <w:spacing w:line="270" w:lineRule="exact"/>
        <w:ind w:firstLine="709"/>
        <w:jc w:val="both"/>
      </w:pPr>
      <w:r>
        <w:t xml:space="preserve">Ресторан – предприятие (объект) питания, предоставляющее потребителю услуги </w:t>
      </w:r>
      <w:r>
        <w:br w:type="textWrapping"/>
      </w:r>
      <w:r>
        <w:t>по организации питания и досуга или без досуга, с широким ассортиментом блюд сложного изготовления, включая фирменные блюда и изделия, алкогольных, прохладительных, горячих</w:t>
      </w:r>
      <w:r>
        <w:br w:type="textWrapping"/>
      </w:r>
      <w:r>
        <w:t xml:space="preserve">и других видов напитков, кондитерских и хлебобулочных изделий, покупных товаров. </w:t>
      </w:r>
    </w:p>
    <w:p>
      <w:pPr>
        <w:spacing w:line="270" w:lineRule="exact"/>
        <w:ind w:firstLine="709"/>
        <w:jc w:val="both"/>
      </w:pPr>
      <w:r>
        <w:t xml:space="preserve">Кафе – предприятие (объект) питания, предоставляющее потребителю услуги </w:t>
      </w:r>
      <w:r>
        <w:br w:type="textWrapping"/>
      </w:r>
      <w:r>
        <w:t>по организации питания и досуга или без досуга, с предоставлением ограниченного,</w:t>
      </w:r>
      <w:r>
        <w:br w:type="textWrapping"/>
      </w:r>
      <w:r>
        <w:t>по сравнению с рестораном, ассортимента продукции и услуг,  реализующее фирменные блюда, кондитерские и хлебобулочные изделия, алкогольные и безалкогольные напитки, покупные товары.</w:t>
      </w:r>
    </w:p>
    <w:p>
      <w:pPr>
        <w:spacing w:line="270" w:lineRule="exact"/>
        <w:ind w:firstLine="709"/>
        <w:jc w:val="both"/>
      </w:pPr>
      <w:r>
        <w:t>Бар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 xml:space="preserve">предприятие (объект) питания, оборудованное барной стойкой и реализующее, </w:t>
      </w:r>
      <w:r>
        <w:br w:type="textWrapping"/>
      </w:r>
      <w:r>
        <w:t xml:space="preserve">в зависимости от специализации, алкогольные и/или безалкогольные напитки, горячие </w:t>
      </w:r>
      <w:r>
        <w:br w:type="textWrapping"/>
      </w:r>
      <w:r>
        <w:t>и прохладительные напитки, блюда, холодные и горячие закуски в ограниченном ассортименте, покупные товары.</w:t>
      </w:r>
    </w:p>
    <w:p>
      <w:pPr>
        <w:spacing w:line="270" w:lineRule="exact"/>
        <w:ind w:firstLine="709"/>
        <w:jc w:val="both"/>
      </w:pPr>
      <w:r>
        <w:t xml:space="preserve">В строках 26, 29 и 32 указываются данные о площади зала обслуживания посетителей. </w:t>
      </w:r>
      <w:r>
        <w:br w:type="textWrapping"/>
      </w:r>
      <w:r>
        <w:t xml:space="preserve">В нее включается площадь помещений и открытых площадок, используемых для организации общественного питания. Не учитываются площади открытых производственных участков </w:t>
      </w:r>
      <w:r>
        <w:br w:type="textWrapping"/>
      </w:r>
      <w:r>
        <w:t>для доготовки продукции, станций раздачи, раздаточных зон недоступных для потребителей.</w:t>
      </w:r>
    </w:p>
    <w:p>
      <w:pPr>
        <w:spacing w:line="270" w:lineRule="exact"/>
        <w:ind w:firstLine="709"/>
        <w:jc w:val="both"/>
      </w:pPr>
      <w:r>
        <w:t>Объекты общественного питания, расположенные в торговых центрах, торговых комплексах, аутлет-центрах и моллах, учитываются в строках 24</w:t>
      </w:r>
      <w:r>
        <w:rPr/>
        <w:sym w:font="Symbol" w:char="F02D"/>
      </w:r>
      <w:r>
        <w:t>32.</w:t>
      </w:r>
    </w:p>
    <w:p>
      <w:pPr>
        <w:jc w:val="center"/>
        <w:rPr>
          <w:b/>
        </w:rPr>
      </w:pPr>
    </w:p>
    <w:p>
      <w:pPr>
        <w:jc w:val="center"/>
        <w:rPr>
          <w:b/>
          <w:sz w:val="12"/>
        </w:rPr>
      </w:pPr>
      <w:r>
        <w:rPr>
          <w:b/>
        </w:rPr>
        <w:t xml:space="preserve">Контроль строк формы федерального статистического наблюдения </w:t>
      </w:r>
      <w:r>
        <w:rPr>
          <w:b/>
        </w:rPr>
        <w:br w:type="textWrapping"/>
      </w:r>
      <w:r>
        <w:rPr>
          <w:b/>
        </w:rPr>
        <w:t xml:space="preserve">№ </w:t>
      </w:r>
      <w:r>
        <w:rPr>
          <w:b/>
          <w:szCs w:val="24"/>
        </w:rPr>
        <w:t>1-ТОРГ(МО)</w:t>
      </w:r>
      <w:r>
        <w:rPr>
          <w:szCs w:val="24"/>
        </w:rPr>
        <w:t xml:space="preserve"> </w:t>
      </w:r>
      <w:r>
        <w:rPr>
          <w:b/>
          <w:szCs w:val="24"/>
        </w:rPr>
        <w:t>«</w:t>
      </w:r>
      <w:r>
        <w:rPr>
          <w:b/>
          <w:bCs/>
          <w:szCs w:val="24"/>
        </w:rPr>
        <w:t xml:space="preserve">Сведения об объектах розничной торговли и общественного питания» </w:t>
      </w:r>
    </w:p>
    <w:p>
      <w:pPr>
        <w:spacing w:line="240" w:lineRule="exact"/>
        <w:ind w:left="708" w:hanging="708"/>
      </w:pPr>
    </w:p>
    <w:p>
      <w:pPr>
        <w:ind w:left="709" w:hanging="709"/>
      </w:pPr>
      <w:r>
        <w:t>Строка 01 = сумме строк 03+05+07+09+11+13+15</w:t>
      </w:r>
    </w:p>
    <w:p>
      <w:pPr>
        <w:ind w:left="709" w:hanging="709"/>
      </w:pPr>
      <w:r>
        <w:t>Строка 02 = сумме строк 04+06+08+10+12+14+16.</w:t>
      </w:r>
    </w:p>
    <w:p>
      <w:pPr>
        <w:spacing w:before="120"/>
        <w:ind w:firstLine="709"/>
        <w:jc w:val="both"/>
      </w:pPr>
    </w:p>
    <w:sectPr>
      <w:headerReference r:id="rId3" w:type="default"/>
      <w:headerReference r:id="rId4" w:type="even"/>
      <w:pgSz w:w="11907" w:h="16840"/>
      <w:pgMar w:top="1021" w:right="964" w:bottom="1021" w:left="1021" w:header="720" w:footer="720" w:gutter="0"/>
      <w:pgNumType w:start="1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10</w:t>
    </w:r>
    <w:r>
      <w:rPr>
        <w:rStyle w:val="16"/>
      </w:rPr>
      <w:fldChar w:fldCharType="end"/>
    </w:r>
  </w:p>
  <w:p>
    <w:pPr>
      <w:pStyle w:val="2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1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31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2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4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33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34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8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3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4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3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hideSpellingErrors/>
  <w:hideGrammaticalErrors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3E"/>
    <w:rsid w:val="000013B2"/>
    <w:rsid w:val="000020F6"/>
    <w:rsid w:val="00002BE3"/>
    <w:rsid w:val="00003061"/>
    <w:rsid w:val="0000380A"/>
    <w:rsid w:val="000066A4"/>
    <w:rsid w:val="00022DBC"/>
    <w:rsid w:val="00024247"/>
    <w:rsid w:val="0003072F"/>
    <w:rsid w:val="000378AE"/>
    <w:rsid w:val="00050494"/>
    <w:rsid w:val="00051DA6"/>
    <w:rsid w:val="00053194"/>
    <w:rsid w:val="00056982"/>
    <w:rsid w:val="00060C26"/>
    <w:rsid w:val="00060CC9"/>
    <w:rsid w:val="000657DE"/>
    <w:rsid w:val="0006643F"/>
    <w:rsid w:val="00070BEF"/>
    <w:rsid w:val="00072205"/>
    <w:rsid w:val="0007688F"/>
    <w:rsid w:val="00081ABC"/>
    <w:rsid w:val="00082C4E"/>
    <w:rsid w:val="00087185"/>
    <w:rsid w:val="00091CB4"/>
    <w:rsid w:val="0009284A"/>
    <w:rsid w:val="000949C4"/>
    <w:rsid w:val="000A0DD7"/>
    <w:rsid w:val="000A2115"/>
    <w:rsid w:val="000A2545"/>
    <w:rsid w:val="000A5890"/>
    <w:rsid w:val="000A6D4C"/>
    <w:rsid w:val="000B07EE"/>
    <w:rsid w:val="000B1690"/>
    <w:rsid w:val="000B1B2D"/>
    <w:rsid w:val="000B3724"/>
    <w:rsid w:val="000B69EB"/>
    <w:rsid w:val="000C1CAA"/>
    <w:rsid w:val="000C7A27"/>
    <w:rsid w:val="000D1262"/>
    <w:rsid w:val="000E0680"/>
    <w:rsid w:val="000E2132"/>
    <w:rsid w:val="000E627B"/>
    <w:rsid w:val="000F1F80"/>
    <w:rsid w:val="000F6936"/>
    <w:rsid w:val="000F7816"/>
    <w:rsid w:val="001042CB"/>
    <w:rsid w:val="001047FF"/>
    <w:rsid w:val="00104DE5"/>
    <w:rsid w:val="001068ED"/>
    <w:rsid w:val="001074BF"/>
    <w:rsid w:val="00107691"/>
    <w:rsid w:val="00110B8C"/>
    <w:rsid w:val="00111BE9"/>
    <w:rsid w:val="00112470"/>
    <w:rsid w:val="001129F0"/>
    <w:rsid w:val="00115A70"/>
    <w:rsid w:val="001161F3"/>
    <w:rsid w:val="00123052"/>
    <w:rsid w:val="00126D66"/>
    <w:rsid w:val="00131E5D"/>
    <w:rsid w:val="00132673"/>
    <w:rsid w:val="00145123"/>
    <w:rsid w:val="001456D2"/>
    <w:rsid w:val="00152661"/>
    <w:rsid w:val="00154738"/>
    <w:rsid w:val="00155909"/>
    <w:rsid w:val="00160A93"/>
    <w:rsid w:val="001628FD"/>
    <w:rsid w:val="001646B0"/>
    <w:rsid w:val="0017007B"/>
    <w:rsid w:val="00174245"/>
    <w:rsid w:val="00183654"/>
    <w:rsid w:val="001839F0"/>
    <w:rsid w:val="00190A02"/>
    <w:rsid w:val="0019132F"/>
    <w:rsid w:val="001931B4"/>
    <w:rsid w:val="00195484"/>
    <w:rsid w:val="001A04AE"/>
    <w:rsid w:val="001A2C93"/>
    <w:rsid w:val="001A3BAA"/>
    <w:rsid w:val="001B4DA8"/>
    <w:rsid w:val="001C0146"/>
    <w:rsid w:val="001C09D6"/>
    <w:rsid w:val="001C102D"/>
    <w:rsid w:val="001C2120"/>
    <w:rsid w:val="001C6132"/>
    <w:rsid w:val="001D1E9E"/>
    <w:rsid w:val="001D409D"/>
    <w:rsid w:val="001D4796"/>
    <w:rsid w:val="001E087D"/>
    <w:rsid w:val="001E0AAC"/>
    <w:rsid w:val="001E0DF1"/>
    <w:rsid w:val="001E58EB"/>
    <w:rsid w:val="001F0323"/>
    <w:rsid w:val="001F15F8"/>
    <w:rsid w:val="001F3233"/>
    <w:rsid w:val="001F3581"/>
    <w:rsid w:val="001F3A38"/>
    <w:rsid w:val="001F5358"/>
    <w:rsid w:val="001F73DD"/>
    <w:rsid w:val="002007A4"/>
    <w:rsid w:val="00202AC7"/>
    <w:rsid w:val="0021001F"/>
    <w:rsid w:val="002125F5"/>
    <w:rsid w:val="002139B3"/>
    <w:rsid w:val="002201CD"/>
    <w:rsid w:val="00222251"/>
    <w:rsid w:val="0022464D"/>
    <w:rsid w:val="0022466F"/>
    <w:rsid w:val="00226CBE"/>
    <w:rsid w:val="00230200"/>
    <w:rsid w:val="00230592"/>
    <w:rsid w:val="002315F9"/>
    <w:rsid w:val="00232342"/>
    <w:rsid w:val="00233681"/>
    <w:rsid w:val="002339F7"/>
    <w:rsid w:val="0024529E"/>
    <w:rsid w:val="00247937"/>
    <w:rsid w:val="00253094"/>
    <w:rsid w:val="002531EA"/>
    <w:rsid w:val="0025394A"/>
    <w:rsid w:val="00263A4F"/>
    <w:rsid w:val="00264E0C"/>
    <w:rsid w:val="00281CBC"/>
    <w:rsid w:val="0028218D"/>
    <w:rsid w:val="00285187"/>
    <w:rsid w:val="00293461"/>
    <w:rsid w:val="00296BA7"/>
    <w:rsid w:val="00296FA2"/>
    <w:rsid w:val="002A07AF"/>
    <w:rsid w:val="002A2EAA"/>
    <w:rsid w:val="002A5553"/>
    <w:rsid w:val="002B1858"/>
    <w:rsid w:val="002B1BDF"/>
    <w:rsid w:val="002C26F6"/>
    <w:rsid w:val="002C5A5D"/>
    <w:rsid w:val="002D46C8"/>
    <w:rsid w:val="002E091D"/>
    <w:rsid w:val="002E233E"/>
    <w:rsid w:val="002E5836"/>
    <w:rsid w:val="002E7EFB"/>
    <w:rsid w:val="002F2FB3"/>
    <w:rsid w:val="002F4337"/>
    <w:rsid w:val="00300959"/>
    <w:rsid w:val="00304633"/>
    <w:rsid w:val="00306B79"/>
    <w:rsid w:val="00307945"/>
    <w:rsid w:val="00312E86"/>
    <w:rsid w:val="00314F13"/>
    <w:rsid w:val="003157AC"/>
    <w:rsid w:val="00317FBB"/>
    <w:rsid w:val="0032094D"/>
    <w:rsid w:val="00322D71"/>
    <w:rsid w:val="003252E3"/>
    <w:rsid w:val="00325B2B"/>
    <w:rsid w:val="00333DE0"/>
    <w:rsid w:val="00336942"/>
    <w:rsid w:val="00340A18"/>
    <w:rsid w:val="00342D16"/>
    <w:rsid w:val="003459B0"/>
    <w:rsid w:val="00355D4A"/>
    <w:rsid w:val="003569BF"/>
    <w:rsid w:val="003665EF"/>
    <w:rsid w:val="00366C6B"/>
    <w:rsid w:val="00376C59"/>
    <w:rsid w:val="003817A4"/>
    <w:rsid w:val="00381CBD"/>
    <w:rsid w:val="0039047C"/>
    <w:rsid w:val="00395CC7"/>
    <w:rsid w:val="00397FFB"/>
    <w:rsid w:val="003A2B63"/>
    <w:rsid w:val="003A3A1D"/>
    <w:rsid w:val="003B15E0"/>
    <w:rsid w:val="003B4D96"/>
    <w:rsid w:val="003B57F3"/>
    <w:rsid w:val="003C1C91"/>
    <w:rsid w:val="003C3F54"/>
    <w:rsid w:val="003C7FEE"/>
    <w:rsid w:val="003D149C"/>
    <w:rsid w:val="003D3519"/>
    <w:rsid w:val="003D542B"/>
    <w:rsid w:val="003D5518"/>
    <w:rsid w:val="003E15FA"/>
    <w:rsid w:val="003E2015"/>
    <w:rsid w:val="003E652C"/>
    <w:rsid w:val="003E6C7B"/>
    <w:rsid w:val="003E76E2"/>
    <w:rsid w:val="003F001F"/>
    <w:rsid w:val="003F4928"/>
    <w:rsid w:val="003F4F21"/>
    <w:rsid w:val="003F7006"/>
    <w:rsid w:val="004004D6"/>
    <w:rsid w:val="004033AB"/>
    <w:rsid w:val="00405469"/>
    <w:rsid w:val="00405DCF"/>
    <w:rsid w:val="004062D8"/>
    <w:rsid w:val="00407E89"/>
    <w:rsid w:val="00413043"/>
    <w:rsid w:val="00413774"/>
    <w:rsid w:val="004146B4"/>
    <w:rsid w:val="00416A28"/>
    <w:rsid w:val="004271CF"/>
    <w:rsid w:val="004322B3"/>
    <w:rsid w:val="0043407F"/>
    <w:rsid w:val="0043652F"/>
    <w:rsid w:val="00445105"/>
    <w:rsid w:val="00445C06"/>
    <w:rsid w:val="004470C8"/>
    <w:rsid w:val="00453324"/>
    <w:rsid w:val="0046023F"/>
    <w:rsid w:val="00460E82"/>
    <w:rsid w:val="00464419"/>
    <w:rsid w:val="00467974"/>
    <w:rsid w:val="00467E64"/>
    <w:rsid w:val="00482C48"/>
    <w:rsid w:val="00491371"/>
    <w:rsid w:val="00493199"/>
    <w:rsid w:val="004A1D6F"/>
    <w:rsid w:val="004A23B8"/>
    <w:rsid w:val="004B0888"/>
    <w:rsid w:val="004B1F7B"/>
    <w:rsid w:val="004B2E0D"/>
    <w:rsid w:val="004C44AA"/>
    <w:rsid w:val="004C6DA0"/>
    <w:rsid w:val="004D151E"/>
    <w:rsid w:val="004D43C0"/>
    <w:rsid w:val="004D5407"/>
    <w:rsid w:val="004D6F48"/>
    <w:rsid w:val="004D7348"/>
    <w:rsid w:val="004E174C"/>
    <w:rsid w:val="004E1A14"/>
    <w:rsid w:val="004E3337"/>
    <w:rsid w:val="004F4021"/>
    <w:rsid w:val="004F43D8"/>
    <w:rsid w:val="00500663"/>
    <w:rsid w:val="0050697E"/>
    <w:rsid w:val="005135E6"/>
    <w:rsid w:val="00522E0B"/>
    <w:rsid w:val="0052373C"/>
    <w:rsid w:val="00535C45"/>
    <w:rsid w:val="0054320F"/>
    <w:rsid w:val="00545CE8"/>
    <w:rsid w:val="00551DD9"/>
    <w:rsid w:val="00555BF9"/>
    <w:rsid w:val="00563301"/>
    <w:rsid w:val="00563773"/>
    <w:rsid w:val="00565C8D"/>
    <w:rsid w:val="005675AE"/>
    <w:rsid w:val="005732D2"/>
    <w:rsid w:val="00573F33"/>
    <w:rsid w:val="00581995"/>
    <w:rsid w:val="005827FD"/>
    <w:rsid w:val="00584293"/>
    <w:rsid w:val="00591A08"/>
    <w:rsid w:val="005965C4"/>
    <w:rsid w:val="005A006D"/>
    <w:rsid w:val="005B3100"/>
    <w:rsid w:val="005B4FB1"/>
    <w:rsid w:val="005B60B5"/>
    <w:rsid w:val="005B6EC8"/>
    <w:rsid w:val="005C274B"/>
    <w:rsid w:val="005C57CE"/>
    <w:rsid w:val="005D1934"/>
    <w:rsid w:val="005D32B8"/>
    <w:rsid w:val="005D5C6A"/>
    <w:rsid w:val="005D6312"/>
    <w:rsid w:val="005D6EEE"/>
    <w:rsid w:val="005E4CC4"/>
    <w:rsid w:val="005F0E12"/>
    <w:rsid w:val="005F4573"/>
    <w:rsid w:val="005F57DD"/>
    <w:rsid w:val="0060124F"/>
    <w:rsid w:val="00601D40"/>
    <w:rsid w:val="00601EA3"/>
    <w:rsid w:val="006047DC"/>
    <w:rsid w:val="00611E2C"/>
    <w:rsid w:val="00614E25"/>
    <w:rsid w:val="00615F47"/>
    <w:rsid w:val="00622B5A"/>
    <w:rsid w:val="00625764"/>
    <w:rsid w:val="00633E6A"/>
    <w:rsid w:val="00640FA9"/>
    <w:rsid w:val="00650532"/>
    <w:rsid w:val="00655477"/>
    <w:rsid w:val="00666EC0"/>
    <w:rsid w:val="00667FB7"/>
    <w:rsid w:val="00670EA2"/>
    <w:rsid w:val="00674112"/>
    <w:rsid w:val="0067597E"/>
    <w:rsid w:val="00676420"/>
    <w:rsid w:val="006774C1"/>
    <w:rsid w:val="00683241"/>
    <w:rsid w:val="0068534D"/>
    <w:rsid w:val="00685994"/>
    <w:rsid w:val="00685C10"/>
    <w:rsid w:val="006918A5"/>
    <w:rsid w:val="006921C9"/>
    <w:rsid w:val="00692DBE"/>
    <w:rsid w:val="00695586"/>
    <w:rsid w:val="006958D3"/>
    <w:rsid w:val="00697418"/>
    <w:rsid w:val="006A0954"/>
    <w:rsid w:val="006A2409"/>
    <w:rsid w:val="006A33A4"/>
    <w:rsid w:val="006A76F8"/>
    <w:rsid w:val="006B1C96"/>
    <w:rsid w:val="006B4F79"/>
    <w:rsid w:val="006C3798"/>
    <w:rsid w:val="006C417D"/>
    <w:rsid w:val="006C7A74"/>
    <w:rsid w:val="006D01F1"/>
    <w:rsid w:val="006D64E7"/>
    <w:rsid w:val="006E5FC6"/>
    <w:rsid w:val="006F7BE0"/>
    <w:rsid w:val="007024E2"/>
    <w:rsid w:val="00703418"/>
    <w:rsid w:val="0070728A"/>
    <w:rsid w:val="007107E8"/>
    <w:rsid w:val="00710BC8"/>
    <w:rsid w:val="00712489"/>
    <w:rsid w:val="00712F7F"/>
    <w:rsid w:val="007157B9"/>
    <w:rsid w:val="00716A2A"/>
    <w:rsid w:val="0072109E"/>
    <w:rsid w:val="00722955"/>
    <w:rsid w:val="00725CA8"/>
    <w:rsid w:val="007312FD"/>
    <w:rsid w:val="00731484"/>
    <w:rsid w:val="007314C4"/>
    <w:rsid w:val="00750D0B"/>
    <w:rsid w:val="00753058"/>
    <w:rsid w:val="00755264"/>
    <w:rsid w:val="00756948"/>
    <w:rsid w:val="00764AD0"/>
    <w:rsid w:val="00771E7A"/>
    <w:rsid w:val="00772481"/>
    <w:rsid w:val="007731E1"/>
    <w:rsid w:val="0077340F"/>
    <w:rsid w:val="007744D7"/>
    <w:rsid w:val="007916EC"/>
    <w:rsid w:val="007A3031"/>
    <w:rsid w:val="007A4445"/>
    <w:rsid w:val="007B0A11"/>
    <w:rsid w:val="007B3146"/>
    <w:rsid w:val="007B40E4"/>
    <w:rsid w:val="007C52C5"/>
    <w:rsid w:val="007D1407"/>
    <w:rsid w:val="007D1B99"/>
    <w:rsid w:val="007D62F5"/>
    <w:rsid w:val="007E02DE"/>
    <w:rsid w:val="007E11C8"/>
    <w:rsid w:val="007E50AC"/>
    <w:rsid w:val="007E7960"/>
    <w:rsid w:val="007F1F97"/>
    <w:rsid w:val="007F22D3"/>
    <w:rsid w:val="0080698B"/>
    <w:rsid w:val="00817555"/>
    <w:rsid w:val="00824A38"/>
    <w:rsid w:val="00830A14"/>
    <w:rsid w:val="00840B1D"/>
    <w:rsid w:val="00841D74"/>
    <w:rsid w:val="00841E15"/>
    <w:rsid w:val="00844DA3"/>
    <w:rsid w:val="0085544C"/>
    <w:rsid w:val="00874AE8"/>
    <w:rsid w:val="00875089"/>
    <w:rsid w:val="00876518"/>
    <w:rsid w:val="0088043A"/>
    <w:rsid w:val="0088405D"/>
    <w:rsid w:val="00885F8F"/>
    <w:rsid w:val="00892E3F"/>
    <w:rsid w:val="008948F7"/>
    <w:rsid w:val="008956B6"/>
    <w:rsid w:val="008A1878"/>
    <w:rsid w:val="008A30C4"/>
    <w:rsid w:val="008A560F"/>
    <w:rsid w:val="008A58C3"/>
    <w:rsid w:val="008B1107"/>
    <w:rsid w:val="008B4DBD"/>
    <w:rsid w:val="008D6EF4"/>
    <w:rsid w:val="008E40E2"/>
    <w:rsid w:val="008E5303"/>
    <w:rsid w:val="008F00BD"/>
    <w:rsid w:val="008F17E2"/>
    <w:rsid w:val="008F1A92"/>
    <w:rsid w:val="008F3CEE"/>
    <w:rsid w:val="00901ADE"/>
    <w:rsid w:val="0090350C"/>
    <w:rsid w:val="009055FC"/>
    <w:rsid w:val="0090713E"/>
    <w:rsid w:val="00907B07"/>
    <w:rsid w:val="00917BCC"/>
    <w:rsid w:val="0092291F"/>
    <w:rsid w:val="00923602"/>
    <w:rsid w:val="009237C1"/>
    <w:rsid w:val="009262A1"/>
    <w:rsid w:val="00926FAD"/>
    <w:rsid w:val="00930A91"/>
    <w:rsid w:val="00933D10"/>
    <w:rsid w:val="009365DD"/>
    <w:rsid w:val="00941B88"/>
    <w:rsid w:val="00942678"/>
    <w:rsid w:val="009459C0"/>
    <w:rsid w:val="00947B80"/>
    <w:rsid w:val="00955BC4"/>
    <w:rsid w:val="0096326F"/>
    <w:rsid w:val="00963513"/>
    <w:rsid w:val="009636EB"/>
    <w:rsid w:val="00967798"/>
    <w:rsid w:val="009703E9"/>
    <w:rsid w:val="009707A4"/>
    <w:rsid w:val="00972DCE"/>
    <w:rsid w:val="009775E8"/>
    <w:rsid w:val="00984688"/>
    <w:rsid w:val="009855F7"/>
    <w:rsid w:val="00985A51"/>
    <w:rsid w:val="00985B34"/>
    <w:rsid w:val="00987484"/>
    <w:rsid w:val="00992219"/>
    <w:rsid w:val="009A3B70"/>
    <w:rsid w:val="009A5E83"/>
    <w:rsid w:val="009A744C"/>
    <w:rsid w:val="009C2E7A"/>
    <w:rsid w:val="009C4ED9"/>
    <w:rsid w:val="009C6279"/>
    <w:rsid w:val="009C7218"/>
    <w:rsid w:val="009D5DC0"/>
    <w:rsid w:val="009D7F67"/>
    <w:rsid w:val="009E0528"/>
    <w:rsid w:val="009E281C"/>
    <w:rsid w:val="009E61AB"/>
    <w:rsid w:val="009E6F94"/>
    <w:rsid w:val="009F0A4C"/>
    <w:rsid w:val="00A003BC"/>
    <w:rsid w:val="00A029A8"/>
    <w:rsid w:val="00A02BF7"/>
    <w:rsid w:val="00A03B6E"/>
    <w:rsid w:val="00A05A87"/>
    <w:rsid w:val="00A11ECA"/>
    <w:rsid w:val="00A206EE"/>
    <w:rsid w:val="00A26389"/>
    <w:rsid w:val="00A35A85"/>
    <w:rsid w:val="00A45671"/>
    <w:rsid w:val="00A46753"/>
    <w:rsid w:val="00A51A53"/>
    <w:rsid w:val="00A547DA"/>
    <w:rsid w:val="00A650E2"/>
    <w:rsid w:val="00A652F4"/>
    <w:rsid w:val="00A67C79"/>
    <w:rsid w:val="00A7671B"/>
    <w:rsid w:val="00A7694F"/>
    <w:rsid w:val="00A81E0B"/>
    <w:rsid w:val="00A832D9"/>
    <w:rsid w:val="00A86022"/>
    <w:rsid w:val="00A863E2"/>
    <w:rsid w:val="00A930F7"/>
    <w:rsid w:val="00A94572"/>
    <w:rsid w:val="00AA1CE2"/>
    <w:rsid w:val="00AA52A9"/>
    <w:rsid w:val="00AC409E"/>
    <w:rsid w:val="00AD33C8"/>
    <w:rsid w:val="00AE0052"/>
    <w:rsid w:val="00AE13BA"/>
    <w:rsid w:val="00AE5673"/>
    <w:rsid w:val="00AE7431"/>
    <w:rsid w:val="00AE78F7"/>
    <w:rsid w:val="00AF20D0"/>
    <w:rsid w:val="00AF36F5"/>
    <w:rsid w:val="00B018FE"/>
    <w:rsid w:val="00B04F16"/>
    <w:rsid w:val="00B06648"/>
    <w:rsid w:val="00B10E01"/>
    <w:rsid w:val="00B12B02"/>
    <w:rsid w:val="00B2330C"/>
    <w:rsid w:val="00B271F1"/>
    <w:rsid w:val="00B32F2F"/>
    <w:rsid w:val="00B347FF"/>
    <w:rsid w:val="00B34AC7"/>
    <w:rsid w:val="00B47537"/>
    <w:rsid w:val="00B564D0"/>
    <w:rsid w:val="00B62EE6"/>
    <w:rsid w:val="00B67C74"/>
    <w:rsid w:val="00B77B6E"/>
    <w:rsid w:val="00B77DA9"/>
    <w:rsid w:val="00B837A9"/>
    <w:rsid w:val="00B87A4B"/>
    <w:rsid w:val="00B95588"/>
    <w:rsid w:val="00B96730"/>
    <w:rsid w:val="00BA4A76"/>
    <w:rsid w:val="00BA4DB1"/>
    <w:rsid w:val="00BB0D13"/>
    <w:rsid w:val="00BB57BB"/>
    <w:rsid w:val="00BC0C39"/>
    <w:rsid w:val="00BC34F7"/>
    <w:rsid w:val="00BC463C"/>
    <w:rsid w:val="00BC4736"/>
    <w:rsid w:val="00BC632E"/>
    <w:rsid w:val="00BC7333"/>
    <w:rsid w:val="00BD31CF"/>
    <w:rsid w:val="00BD6C9B"/>
    <w:rsid w:val="00BE0B62"/>
    <w:rsid w:val="00BE4BC3"/>
    <w:rsid w:val="00BE6D75"/>
    <w:rsid w:val="00BE6F5F"/>
    <w:rsid w:val="00BF6D1F"/>
    <w:rsid w:val="00C0474F"/>
    <w:rsid w:val="00C121BF"/>
    <w:rsid w:val="00C126BC"/>
    <w:rsid w:val="00C15237"/>
    <w:rsid w:val="00C21CA0"/>
    <w:rsid w:val="00C24CF2"/>
    <w:rsid w:val="00C25014"/>
    <w:rsid w:val="00C26187"/>
    <w:rsid w:val="00C304B4"/>
    <w:rsid w:val="00C30D35"/>
    <w:rsid w:val="00C35969"/>
    <w:rsid w:val="00C36BA4"/>
    <w:rsid w:val="00C402AA"/>
    <w:rsid w:val="00C410B9"/>
    <w:rsid w:val="00C440B8"/>
    <w:rsid w:val="00C476CB"/>
    <w:rsid w:val="00C52FDC"/>
    <w:rsid w:val="00C5516F"/>
    <w:rsid w:val="00C61D69"/>
    <w:rsid w:val="00C66D06"/>
    <w:rsid w:val="00C73863"/>
    <w:rsid w:val="00C73F28"/>
    <w:rsid w:val="00C741CE"/>
    <w:rsid w:val="00C754C3"/>
    <w:rsid w:val="00C814C4"/>
    <w:rsid w:val="00C857F7"/>
    <w:rsid w:val="00C86B07"/>
    <w:rsid w:val="00C964A7"/>
    <w:rsid w:val="00CA2AED"/>
    <w:rsid w:val="00CA3B8D"/>
    <w:rsid w:val="00CA5D47"/>
    <w:rsid w:val="00CB1C64"/>
    <w:rsid w:val="00CB1EB0"/>
    <w:rsid w:val="00CB236B"/>
    <w:rsid w:val="00CB3656"/>
    <w:rsid w:val="00CB5605"/>
    <w:rsid w:val="00CC2459"/>
    <w:rsid w:val="00CC2CD6"/>
    <w:rsid w:val="00CC34AC"/>
    <w:rsid w:val="00CC73CF"/>
    <w:rsid w:val="00CC745E"/>
    <w:rsid w:val="00CD4F94"/>
    <w:rsid w:val="00CD658D"/>
    <w:rsid w:val="00CD66F2"/>
    <w:rsid w:val="00CD744B"/>
    <w:rsid w:val="00CD7752"/>
    <w:rsid w:val="00CE0CD4"/>
    <w:rsid w:val="00CE60A2"/>
    <w:rsid w:val="00CF179F"/>
    <w:rsid w:val="00CF62F0"/>
    <w:rsid w:val="00D00A4E"/>
    <w:rsid w:val="00D07CAA"/>
    <w:rsid w:val="00D1207D"/>
    <w:rsid w:val="00D13BE6"/>
    <w:rsid w:val="00D20C66"/>
    <w:rsid w:val="00D239B4"/>
    <w:rsid w:val="00D2537A"/>
    <w:rsid w:val="00D27A2B"/>
    <w:rsid w:val="00D30091"/>
    <w:rsid w:val="00D3472A"/>
    <w:rsid w:val="00D349CA"/>
    <w:rsid w:val="00D420EA"/>
    <w:rsid w:val="00D525B6"/>
    <w:rsid w:val="00D63ECB"/>
    <w:rsid w:val="00D708A5"/>
    <w:rsid w:val="00D71363"/>
    <w:rsid w:val="00D757CD"/>
    <w:rsid w:val="00D94658"/>
    <w:rsid w:val="00DB1EB3"/>
    <w:rsid w:val="00DB5654"/>
    <w:rsid w:val="00DB65F7"/>
    <w:rsid w:val="00DB68E2"/>
    <w:rsid w:val="00DC2ACC"/>
    <w:rsid w:val="00DC3BB5"/>
    <w:rsid w:val="00DD1155"/>
    <w:rsid w:val="00DE347F"/>
    <w:rsid w:val="00DF1F50"/>
    <w:rsid w:val="00DF525D"/>
    <w:rsid w:val="00E00F6B"/>
    <w:rsid w:val="00E073CB"/>
    <w:rsid w:val="00E07552"/>
    <w:rsid w:val="00E07C31"/>
    <w:rsid w:val="00E10D4E"/>
    <w:rsid w:val="00E12D35"/>
    <w:rsid w:val="00E23269"/>
    <w:rsid w:val="00E233CF"/>
    <w:rsid w:val="00E33C5F"/>
    <w:rsid w:val="00E35ECE"/>
    <w:rsid w:val="00E37C37"/>
    <w:rsid w:val="00E40E21"/>
    <w:rsid w:val="00E41D4F"/>
    <w:rsid w:val="00E60418"/>
    <w:rsid w:val="00E643E8"/>
    <w:rsid w:val="00E64867"/>
    <w:rsid w:val="00E74143"/>
    <w:rsid w:val="00E74C46"/>
    <w:rsid w:val="00E75F27"/>
    <w:rsid w:val="00E7659B"/>
    <w:rsid w:val="00E76EAC"/>
    <w:rsid w:val="00E84C78"/>
    <w:rsid w:val="00E85B78"/>
    <w:rsid w:val="00E873A8"/>
    <w:rsid w:val="00E87E15"/>
    <w:rsid w:val="00E9026F"/>
    <w:rsid w:val="00EA72A9"/>
    <w:rsid w:val="00EA7B3E"/>
    <w:rsid w:val="00EA7BCC"/>
    <w:rsid w:val="00EC0688"/>
    <w:rsid w:val="00EC3253"/>
    <w:rsid w:val="00ED5120"/>
    <w:rsid w:val="00ED5138"/>
    <w:rsid w:val="00EE0976"/>
    <w:rsid w:val="00EE0B9D"/>
    <w:rsid w:val="00EE52FF"/>
    <w:rsid w:val="00EE67B7"/>
    <w:rsid w:val="00EE7572"/>
    <w:rsid w:val="00EF26D8"/>
    <w:rsid w:val="00EF2D60"/>
    <w:rsid w:val="00EF3FC5"/>
    <w:rsid w:val="00F0433C"/>
    <w:rsid w:val="00F13A90"/>
    <w:rsid w:val="00F27BBF"/>
    <w:rsid w:val="00F338BF"/>
    <w:rsid w:val="00F37994"/>
    <w:rsid w:val="00F4138E"/>
    <w:rsid w:val="00F4369F"/>
    <w:rsid w:val="00F46A99"/>
    <w:rsid w:val="00F5044A"/>
    <w:rsid w:val="00F5131A"/>
    <w:rsid w:val="00F542C7"/>
    <w:rsid w:val="00F61C9F"/>
    <w:rsid w:val="00F61D66"/>
    <w:rsid w:val="00F62391"/>
    <w:rsid w:val="00F63543"/>
    <w:rsid w:val="00F74B3C"/>
    <w:rsid w:val="00F75939"/>
    <w:rsid w:val="00F75B87"/>
    <w:rsid w:val="00F75F2A"/>
    <w:rsid w:val="00F80232"/>
    <w:rsid w:val="00F84A41"/>
    <w:rsid w:val="00F91C85"/>
    <w:rsid w:val="00F93985"/>
    <w:rsid w:val="00F97B9B"/>
    <w:rsid w:val="00FA44C5"/>
    <w:rsid w:val="00FA79E3"/>
    <w:rsid w:val="00FB1217"/>
    <w:rsid w:val="00FB32EA"/>
    <w:rsid w:val="00FC0397"/>
    <w:rsid w:val="00FC35F0"/>
    <w:rsid w:val="00FC69FE"/>
    <w:rsid w:val="00FC78CA"/>
    <w:rsid w:val="00FD1663"/>
    <w:rsid w:val="00FD4A93"/>
    <w:rsid w:val="00FE07B9"/>
    <w:rsid w:val="00FE125A"/>
    <w:rsid w:val="00FE78A9"/>
    <w:rsid w:val="00FF107E"/>
    <w:rsid w:val="00FF13D3"/>
    <w:rsid w:val="0A114264"/>
    <w:rsid w:val="18281AEA"/>
    <w:rsid w:val="3D4A6A0C"/>
    <w:rsid w:val="75A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qFormat="1" w:uiPriority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qFormat="1" w:uiPriority="0" w:name="envelope address"/>
    <w:lsdException w:qFormat="1" w:uiPriority="0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0" w:name="List"/>
    <w:lsdException w:unhideWhenUsed="0" w:uiPriority="0" w:name="List Bullet"/>
    <w:lsdException w:unhideWhenUsed="0" w:uiPriority="0" w:name="List Number"/>
    <w:lsdException w:uiPriority="99" w:name="List 2"/>
    <w:lsdException w:uiPriority="99" w:name="List 3"/>
    <w:lsdException w:uiPriority="99" w:name="List 4"/>
    <w:lsdException w:uiPriority="99" w:name="List 5"/>
    <w:lsdException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unhideWhenUsed="0" w:uiPriority="0" w:name="List Bullet 5"/>
    <w:lsdException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iPriority="0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nhideWhenUsed="0" w:uiPriority="0" w:name="Body Text Indent 2"/>
    <w:lsdException w:qFormat="1" w:unhideWhenUsed="0" w:uiPriority="0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styleId="2">
    <w:name w:val="heading 1"/>
    <w:basedOn w:val="1"/>
    <w:next w:val="1"/>
    <w:link w:val="60"/>
    <w:qFormat/>
    <w:uiPriority w:val="0"/>
    <w:pPr>
      <w:keepNext/>
      <w:spacing w:before="60" w:after="60"/>
      <w:outlineLvl w:val="0"/>
    </w:pPr>
    <w:rPr>
      <w:rFonts w:ascii="Times New Roman CYR" w:hAnsi="Times New Roman CYR"/>
      <w:b/>
      <w:sz w:val="20"/>
    </w:rPr>
  </w:style>
  <w:style w:type="paragraph" w:styleId="3">
    <w:name w:val="heading 2"/>
    <w:basedOn w:val="1"/>
    <w:next w:val="1"/>
    <w:link w:val="47"/>
    <w:qFormat/>
    <w:uiPriority w:val="0"/>
    <w:pPr>
      <w:keepNext/>
      <w:spacing w:before="120"/>
      <w:outlineLvl w:val="1"/>
    </w:pPr>
    <w:rPr>
      <w:b/>
    </w:rPr>
  </w:style>
  <w:style w:type="paragraph" w:styleId="4">
    <w:name w:val="heading 3"/>
    <w:basedOn w:val="1"/>
    <w:next w:val="1"/>
    <w:link w:val="61"/>
    <w:qFormat/>
    <w:uiPriority w:val="0"/>
    <w:pPr>
      <w:keepNext/>
      <w:spacing w:before="120"/>
      <w:ind w:right="-113"/>
      <w:outlineLvl w:val="2"/>
    </w:pPr>
    <w:rPr>
      <w:b/>
    </w:rPr>
  </w:style>
  <w:style w:type="paragraph" w:styleId="5">
    <w:name w:val="heading 4"/>
    <w:basedOn w:val="1"/>
    <w:next w:val="1"/>
    <w:link w:val="48"/>
    <w:qFormat/>
    <w:uiPriority w:val="0"/>
    <w:pPr>
      <w:keepNext/>
      <w:spacing w:before="60"/>
      <w:jc w:val="center"/>
      <w:outlineLvl w:val="3"/>
    </w:pPr>
    <w:rPr>
      <w:b/>
      <w:sz w:val="20"/>
    </w:rPr>
  </w:style>
  <w:style w:type="paragraph" w:styleId="6">
    <w:name w:val="heading 5"/>
    <w:basedOn w:val="1"/>
    <w:next w:val="1"/>
    <w:link w:val="75"/>
    <w:qFormat/>
    <w:uiPriority w:val="0"/>
    <w:pPr>
      <w:keepNext/>
      <w:spacing w:before="120" w:after="120"/>
      <w:ind w:left="709" w:hanging="709"/>
      <w:outlineLvl w:val="4"/>
    </w:pPr>
    <w:rPr>
      <w:b/>
    </w:rPr>
  </w:style>
  <w:style w:type="paragraph" w:styleId="7">
    <w:name w:val="heading 6"/>
    <w:basedOn w:val="1"/>
    <w:next w:val="1"/>
    <w:link w:val="49"/>
    <w:qFormat/>
    <w:uiPriority w:val="0"/>
    <w:pPr>
      <w:keepNext/>
      <w:spacing w:before="60" w:line="270" w:lineRule="atLeast"/>
      <w:outlineLvl w:val="5"/>
    </w:pPr>
    <w:rPr>
      <w:rFonts w:eastAsia="Arial Unicode MS"/>
      <w:b/>
      <w:sz w:val="20"/>
      <w:szCs w:val="24"/>
    </w:rPr>
  </w:style>
  <w:style w:type="paragraph" w:styleId="8">
    <w:name w:val="heading 7"/>
    <w:basedOn w:val="1"/>
    <w:next w:val="1"/>
    <w:link w:val="76"/>
    <w:qFormat/>
    <w:uiPriority w:val="0"/>
    <w:pPr>
      <w:keepNext/>
      <w:widowControl w:val="0"/>
      <w:jc w:val="center"/>
      <w:outlineLvl w:val="6"/>
    </w:pPr>
    <w:rPr>
      <w:b/>
    </w:rPr>
  </w:style>
  <w:style w:type="paragraph" w:styleId="9">
    <w:name w:val="heading 8"/>
    <w:basedOn w:val="1"/>
    <w:next w:val="1"/>
    <w:link w:val="77"/>
    <w:qFormat/>
    <w:uiPriority w:val="0"/>
    <w:pPr>
      <w:keepNext/>
      <w:widowControl w:val="0"/>
      <w:spacing w:before="120"/>
      <w:jc w:val="center"/>
      <w:outlineLvl w:val="7"/>
    </w:pPr>
    <w:rPr>
      <w:b/>
      <w:sz w:val="22"/>
    </w:rPr>
  </w:style>
  <w:style w:type="paragraph" w:styleId="10">
    <w:name w:val="heading 9"/>
    <w:basedOn w:val="1"/>
    <w:next w:val="1"/>
    <w:link w:val="50"/>
    <w:qFormat/>
    <w:uiPriority w:val="0"/>
    <w:pPr>
      <w:keepNext/>
      <w:ind w:firstLine="709"/>
      <w:jc w:val="center"/>
      <w:outlineLvl w:val="8"/>
    </w:pPr>
    <w:rPr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semiHidden/>
    <w:unhideWhenUsed/>
    <w:qFormat/>
    <w:uiPriority w:val="99"/>
    <w:rPr>
      <w:color w:val="800080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styleId="16">
    <w:name w:val="page number"/>
    <w:basedOn w:val="11"/>
    <w:semiHidden/>
    <w:qFormat/>
    <w:uiPriority w:val="0"/>
  </w:style>
  <w:style w:type="paragraph" w:styleId="17">
    <w:name w:val="Balloon Text"/>
    <w:basedOn w:val="1"/>
    <w:link w:val="59"/>
    <w:semiHidden/>
    <w:unhideWhenUsed/>
    <w:qFormat/>
    <w:uiPriority w:val="0"/>
    <w:rPr>
      <w:rFonts w:ascii="Tahoma" w:hAnsi="Tahoma"/>
      <w:sz w:val="16"/>
      <w:szCs w:val="16"/>
    </w:rPr>
  </w:style>
  <w:style w:type="paragraph" w:styleId="18">
    <w:name w:val="Body Text 2"/>
    <w:basedOn w:val="1"/>
    <w:link w:val="80"/>
    <w:semiHidden/>
    <w:qFormat/>
    <w:uiPriority w:val="0"/>
    <w:pPr>
      <w:spacing w:before="120"/>
    </w:pPr>
    <w:rPr>
      <w:rFonts w:ascii="Times New Roman CYR" w:hAnsi="Times New Roman CYR"/>
      <w:sz w:val="22"/>
    </w:rPr>
  </w:style>
  <w:style w:type="paragraph" w:styleId="19">
    <w:name w:val="List Number 5"/>
    <w:basedOn w:val="1"/>
    <w:semiHidden/>
    <w:qFormat/>
    <w:uiPriority w:val="0"/>
    <w:pPr>
      <w:numPr>
        <w:ilvl w:val="0"/>
        <w:numId w:val="1"/>
      </w:numPr>
    </w:pPr>
  </w:style>
  <w:style w:type="paragraph" w:styleId="20">
    <w:name w:val="Closing"/>
    <w:basedOn w:val="1"/>
    <w:link w:val="65"/>
    <w:semiHidden/>
    <w:unhideWhenUsed/>
    <w:qFormat/>
    <w:uiPriority w:val="0"/>
    <w:pPr>
      <w:ind w:left="4252"/>
    </w:pPr>
    <w:rPr>
      <w:szCs w:val="24"/>
    </w:rPr>
  </w:style>
  <w:style w:type="paragraph" w:styleId="21">
    <w:name w:val="envelope return"/>
    <w:basedOn w:val="1"/>
    <w:semiHidden/>
    <w:unhideWhenUsed/>
    <w:qFormat/>
    <w:uiPriority w:val="0"/>
    <w:rPr>
      <w:rFonts w:ascii="Arial" w:hAnsi="Arial"/>
      <w:sz w:val="20"/>
      <w:szCs w:val="24"/>
    </w:rPr>
  </w:style>
  <w:style w:type="paragraph" w:styleId="22">
    <w:name w:val="Plain Text"/>
    <w:basedOn w:val="1"/>
    <w:link w:val="72"/>
    <w:semiHidden/>
    <w:unhideWhenUsed/>
    <w:qFormat/>
    <w:uiPriority w:val="0"/>
    <w:rPr>
      <w:rFonts w:ascii="Courier New" w:hAnsi="Courier New"/>
      <w:sz w:val="20"/>
      <w:szCs w:val="24"/>
    </w:rPr>
  </w:style>
  <w:style w:type="paragraph" w:styleId="23">
    <w:name w:val="Body Text Indent 3"/>
    <w:basedOn w:val="1"/>
    <w:link w:val="71"/>
    <w:semiHidden/>
    <w:qFormat/>
    <w:uiPriority w:val="0"/>
    <w:pPr>
      <w:tabs>
        <w:tab w:val="left" w:pos="1515"/>
      </w:tabs>
      <w:autoSpaceDE w:val="0"/>
      <w:autoSpaceDN w:val="0"/>
      <w:spacing w:before="120" w:line="240" w:lineRule="exact"/>
      <w:ind w:firstLine="709"/>
      <w:jc w:val="both"/>
    </w:pPr>
    <w:rPr>
      <w:color w:val="FF0000"/>
      <w:sz w:val="20"/>
    </w:rPr>
  </w:style>
  <w:style w:type="paragraph" w:styleId="24">
    <w:name w:val="endnote text"/>
    <w:basedOn w:val="1"/>
    <w:link w:val="58"/>
    <w:qFormat/>
    <w:uiPriority w:val="0"/>
    <w:rPr>
      <w:sz w:val="20"/>
    </w:rPr>
  </w:style>
  <w:style w:type="paragraph" w:styleId="25">
    <w:name w:val="footnote text"/>
    <w:basedOn w:val="1"/>
    <w:link w:val="78"/>
    <w:semiHidden/>
    <w:unhideWhenUsed/>
    <w:qFormat/>
    <w:uiPriority w:val="99"/>
    <w:rPr>
      <w:sz w:val="20"/>
    </w:rPr>
  </w:style>
  <w:style w:type="paragraph" w:styleId="26">
    <w:name w:val="List Number 3"/>
    <w:basedOn w:val="1"/>
    <w:semiHidden/>
    <w:qFormat/>
    <w:uiPriority w:val="0"/>
    <w:pPr>
      <w:numPr>
        <w:ilvl w:val="0"/>
        <w:numId w:val="2"/>
      </w:numPr>
    </w:pPr>
  </w:style>
  <w:style w:type="paragraph" w:styleId="27">
    <w:name w:val="index 4"/>
    <w:basedOn w:val="1"/>
    <w:next w:val="1"/>
    <w:semiHidden/>
    <w:unhideWhenUsed/>
    <w:qFormat/>
    <w:uiPriority w:val="0"/>
    <w:pPr>
      <w:ind w:left="960" w:hanging="240"/>
    </w:pPr>
    <w:rPr>
      <w:szCs w:val="24"/>
    </w:rPr>
  </w:style>
  <w:style w:type="paragraph" w:styleId="28">
    <w:name w:val="header"/>
    <w:basedOn w:val="1"/>
    <w:link w:val="62"/>
    <w:qFormat/>
    <w:uiPriority w:val="99"/>
    <w:pPr>
      <w:tabs>
        <w:tab w:val="center" w:pos="4536"/>
        <w:tab w:val="right" w:pos="9072"/>
      </w:tabs>
    </w:pPr>
  </w:style>
  <w:style w:type="paragraph" w:styleId="29">
    <w:name w:val="envelope address"/>
    <w:basedOn w:val="1"/>
    <w:semiHidden/>
    <w:unhideWhenUsed/>
    <w:qFormat/>
    <w:uiPriority w:val="0"/>
    <w:pPr>
      <w:framePr w:w="7920" w:h="1980" w:hSpace="180" w:wrap="auto" w:vAnchor="margin" w:hAnchor="page" w:xAlign="center" w:yAlign="bottom"/>
      <w:ind w:left="2880"/>
    </w:pPr>
    <w:rPr>
      <w:rFonts w:ascii="Arial" w:hAnsi="Arial"/>
      <w:szCs w:val="24"/>
    </w:rPr>
  </w:style>
  <w:style w:type="paragraph" w:styleId="30">
    <w:name w:val="Body Text"/>
    <w:basedOn w:val="1"/>
    <w:link w:val="52"/>
    <w:qFormat/>
    <w:uiPriority w:val="0"/>
    <w:pPr>
      <w:widowControl w:val="0"/>
      <w:spacing w:after="120"/>
    </w:pPr>
    <w:rPr>
      <w:rFonts w:ascii="Arial" w:hAnsi="Arial"/>
      <w:sz w:val="20"/>
    </w:rPr>
  </w:style>
  <w:style w:type="paragraph" w:styleId="31">
    <w:name w:val="List Number 4"/>
    <w:basedOn w:val="1"/>
    <w:semiHidden/>
    <w:qFormat/>
    <w:uiPriority w:val="0"/>
    <w:pPr>
      <w:numPr>
        <w:ilvl w:val="0"/>
        <w:numId w:val="3"/>
      </w:numPr>
    </w:pPr>
  </w:style>
  <w:style w:type="paragraph" w:styleId="32">
    <w:name w:val="Date"/>
    <w:basedOn w:val="1"/>
    <w:next w:val="1"/>
    <w:link w:val="68"/>
    <w:semiHidden/>
    <w:uiPriority w:val="0"/>
  </w:style>
  <w:style w:type="paragraph" w:styleId="33">
    <w:name w:val="List Bullet 5"/>
    <w:basedOn w:val="1"/>
    <w:semiHidden/>
    <w:uiPriority w:val="0"/>
    <w:pPr>
      <w:numPr>
        <w:ilvl w:val="0"/>
        <w:numId w:val="4"/>
      </w:numPr>
    </w:pPr>
  </w:style>
  <w:style w:type="paragraph" w:styleId="34">
    <w:name w:val="List Bullet 4"/>
    <w:basedOn w:val="1"/>
    <w:semiHidden/>
    <w:qFormat/>
    <w:uiPriority w:val="0"/>
    <w:pPr>
      <w:numPr>
        <w:ilvl w:val="0"/>
        <w:numId w:val="5"/>
      </w:numPr>
    </w:pPr>
  </w:style>
  <w:style w:type="paragraph" w:styleId="35">
    <w:name w:val="Body Text Indent"/>
    <w:basedOn w:val="1"/>
    <w:link w:val="67"/>
    <w:semiHidden/>
    <w:uiPriority w:val="0"/>
    <w:pPr>
      <w:autoSpaceDE w:val="0"/>
      <w:autoSpaceDN w:val="0"/>
      <w:ind w:firstLine="720"/>
      <w:jc w:val="both"/>
    </w:pPr>
    <w:rPr>
      <w:rFonts w:ascii="MS Sans Serif" w:hAnsi="MS Sans Serif"/>
      <w:sz w:val="28"/>
    </w:rPr>
  </w:style>
  <w:style w:type="paragraph" w:styleId="36">
    <w:name w:val="List Bullet"/>
    <w:basedOn w:val="1"/>
    <w:semiHidden/>
    <w:uiPriority w:val="0"/>
    <w:pPr>
      <w:numPr>
        <w:ilvl w:val="0"/>
        <w:numId w:val="6"/>
      </w:numPr>
    </w:pPr>
  </w:style>
  <w:style w:type="paragraph" w:styleId="37">
    <w:name w:val="List Bullet 2"/>
    <w:basedOn w:val="1"/>
    <w:semiHidden/>
    <w:uiPriority w:val="0"/>
    <w:pPr>
      <w:numPr>
        <w:ilvl w:val="0"/>
        <w:numId w:val="7"/>
      </w:numPr>
    </w:pPr>
  </w:style>
  <w:style w:type="paragraph" w:styleId="38">
    <w:name w:val="List Bullet 3"/>
    <w:basedOn w:val="1"/>
    <w:semiHidden/>
    <w:qFormat/>
    <w:uiPriority w:val="0"/>
    <w:pPr>
      <w:numPr>
        <w:ilvl w:val="0"/>
        <w:numId w:val="8"/>
      </w:numPr>
    </w:pPr>
  </w:style>
  <w:style w:type="paragraph" w:styleId="39">
    <w:name w:val="Title"/>
    <w:basedOn w:val="1"/>
    <w:link w:val="64"/>
    <w:qFormat/>
    <w:uiPriority w:val="0"/>
    <w:pPr>
      <w:jc w:val="center"/>
    </w:pPr>
    <w:rPr>
      <w:sz w:val="28"/>
      <w:szCs w:val="24"/>
    </w:rPr>
  </w:style>
  <w:style w:type="paragraph" w:styleId="40">
    <w:name w:val="footer"/>
    <w:basedOn w:val="1"/>
    <w:link w:val="63"/>
    <w:unhideWhenUsed/>
    <w:qFormat/>
    <w:uiPriority w:val="0"/>
    <w:pPr>
      <w:tabs>
        <w:tab w:val="center" w:pos="4677"/>
        <w:tab w:val="right" w:pos="9355"/>
      </w:tabs>
    </w:pPr>
    <w:rPr>
      <w:szCs w:val="24"/>
    </w:rPr>
  </w:style>
  <w:style w:type="paragraph" w:styleId="41">
    <w:name w:val="List Number"/>
    <w:basedOn w:val="1"/>
    <w:semiHidden/>
    <w:uiPriority w:val="0"/>
    <w:pPr>
      <w:numPr>
        <w:ilvl w:val="0"/>
        <w:numId w:val="9"/>
      </w:numPr>
    </w:pPr>
  </w:style>
  <w:style w:type="paragraph" w:styleId="42">
    <w:name w:val="List Number 2"/>
    <w:basedOn w:val="1"/>
    <w:semiHidden/>
    <w:uiPriority w:val="0"/>
    <w:pPr>
      <w:numPr>
        <w:ilvl w:val="0"/>
        <w:numId w:val="10"/>
      </w:numPr>
    </w:pPr>
  </w:style>
  <w:style w:type="paragraph" w:styleId="43">
    <w:name w:val="List"/>
    <w:basedOn w:val="1"/>
    <w:semiHidden/>
    <w:unhideWhenUsed/>
    <w:uiPriority w:val="0"/>
    <w:pPr>
      <w:ind w:left="283" w:hanging="283"/>
    </w:pPr>
    <w:rPr>
      <w:szCs w:val="24"/>
    </w:rPr>
  </w:style>
  <w:style w:type="paragraph" w:styleId="44">
    <w:name w:val="Normal (Web)"/>
    <w:basedOn w:val="1"/>
    <w:semiHidden/>
    <w:uiPriority w:val="0"/>
    <w:pPr>
      <w:spacing w:before="100" w:after="100"/>
    </w:pPr>
    <w:rPr>
      <w:rFonts w:hint="eastAsia" w:ascii="Arial Unicode MS" w:hAnsi="Arial Unicode MS" w:eastAsia="Arial Unicode MS"/>
    </w:rPr>
  </w:style>
  <w:style w:type="paragraph" w:styleId="45">
    <w:name w:val="Body Text 3"/>
    <w:basedOn w:val="1"/>
    <w:link w:val="69"/>
    <w:semiHidden/>
    <w:qFormat/>
    <w:uiPriority w:val="0"/>
    <w:pPr>
      <w:spacing w:before="120"/>
      <w:jc w:val="center"/>
    </w:pPr>
    <w:rPr>
      <w:bCs/>
      <w:caps/>
      <w:sz w:val="20"/>
    </w:rPr>
  </w:style>
  <w:style w:type="paragraph" w:styleId="46">
    <w:name w:val="Body Text Indent 2"/>
    <w:basedOn w:val="1"/>
    <w:link w:val="70"/>
    <w:semiHidden/>
    <w:uiPriority w:val="0"/>
    <w:pPr>
      <w:spacing w:before="20"/>
      <w:ind w:firstLine="709"/>
    </w:pPr>
    <w:rPr>
      <w:sz w:val="22"/>
    </w:rPr>
  </w:style>
  <w:style w:type="character" w:customStyle="1" w:styleId="47">
    <w:name w:val="Заголовок 2 Знак"/>
    <w:link w:val="3"/>
    <w:uiPriority w:val="0"/>
    <w:rPr>
      <w:b/>
      <w:sz w:val="24"/>
    </w:rPr>
  </w:style>
  <w:style w:type="character" w:customStyle="1" w:styleId="48">
    <w:name w:val="Заголовок 4 Знак"/>
    <w:link w:val="5"/>
    <w:qFormat/>
    <w:uiPriority w:val="0"/>
    <w:rPr>
      <w:b/>
    </w:rPr>
  </w:style>
  <w:style w:type="character" w:customStyle="1" w:styleId="49">
    <w:name w:val="Заголовок 6 Знак"/>
    <w:link w:val="7"/>
    <w:uiPriority w:val="0"/>
    <w:rPr>
      <w:rFonts w:eastAsia="Arial Unicode MS"/>
      <w:b/>
      <w:szCs w:val="24"/>
    </w:rPr>
  </w:style>
  <w:style w:type="character" w:customStyle="1" w:styleId="50">
    <w:name w:val="Заголовок 9 Знак"/>
    <w:link w:val="10"/>
    <w:uiPriority w:val="0"/>
    <w:rPr>
      <w:b/>
      <w:sz w:val="24"/>
    </w:rPr>
  </w:style>
  <w:style w:type="paragraph" w:customStyle="1" w:styleId="51">
    <w:name w:val="абзац-1"/>
    <w:basedOn w:val="1"/>
    <w:qFormat/>
    <w:uiPriority w:val="0"/>
    <w:pPr>
      <w:spacing w:line="360" w:lineRule="auto"/>
      <w:ind w:firstLine="709"/>
    </w:pPr>
  </w:style>
  <w:style w:type="character" w:customStyle="1" w:styleId="52">
    <w:name w:val="Основной текст Знак"/>
    <w:link w:val="30"/>
    <w:locked/>
    <w:uiPriority w:val="0"/>
    <w:rPr>
      <w:rFonts w:ascii="Arial" w:hAnsi="Arial"/>
    </w:rPr>
  </w:style>
  <w:style w:type="paragraph" w:customStyle="1" w:styleId="53">
    <w:name w:val="Термин"/>
    <w:basedOn w:val="1"/>
    <w:next w:val="54"/>
    <w:uiPriority w:val="0"/>
    <w:rPr>
      <w:snapToGrid w:val="0"/>
    </w:rPr>
  </w:style>
  <w:style w:type="paragraph" w:customStyle="1" w:styleId="54">
    <w:name w:val="Список определений"/>
    <w:basedOn w:val="1"/>
    <w:next w:val="53"/>
    <w:uiPriority w:val="0"/>
    <w:pPr>
      <w:ind w:left="360"/>
    </w:pPr>
    <w:rPr>
      <w:snapToGrid w:val="0"/>
    </w:rPr>
  </w:style>
  <w:style w:type="paragraph" w:customStyle="1" w:styleId="55">
    <w:name w:val="Обычный1"/>
    <w:uiPriority w:val="0"/>
    <w:pPr>
      <w:widowControl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6">
    <w:name w:val="Обычный11"/>
    <w:qFormat/>
    <w:uiPriority w:val="0"/>
    <w:rPr>
      <w:rFonts w:ascii="Arial" w:hAnsi="Arial" w:eastAsia="Times New Roman" w:cs="Times New Roman"/>
      <w:lang w:val="ru-RU" w:eastAsia="ru-RU" w:bidi="ar-SA"/>
    </w:rPr>
  </w:style>
  <w:style w:type="paragraph" w:customStyle="1" w:styleId="57">
    <w:name w:val="Стиль1"/>
    <w:basedOn w:val="1"/>
    <w:uiPriority w:val="0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58">
    <w:name w:val="Текст концевой сноски Знак"/>
    <w:link w:val="24"/>
    <w:qFormat/>
    <w:uiPriority w:val="0"/>
  </w:style>
  <w:style w:type="character" w:customStyle="1" w:styleId="59">
    <w:name w:val="Текст выноски Знак"/>
    <w:link w:val="17"/>
    <w:semiHidden/>
    <w:uiPriority w:val="0"/>
    <w:rPr>
      <w:rFonts w:ascii="Tahoma" w:hAnsi="Tahoma" w:cs="Tahoma"/>
      <w:sz w:val="16"/>
      <w:szCs w:val="16"/>
    </w:rPr>
  </w:style>
  <w:style w:type="character" w:customStyle="1" w:styleId="60">
    <w:name w:val="Заголовок 1 Знак"/>
    <w:link w:val="2"/>
    <w:qFormat/>
    <w:uiPriority w:val="0"/>
    <w:rPr>
      <w:rFonts w:ascii="Times New Roman CYR" w:hAnsi="Times New Roman CYR"/>
      <w:b/>
    </w:rPr>
  </w:style>
  <w:style w:type="character" w:customStyle="1" w:styleId="61">
    <w:name w:val="Заголовок 3 Знак"/>
    <w:link w:val="4"/>
    <w:uiPriority w:val="0"/>
    <w:rPr>
      <w:b/>
      <w:sz w:val="24"/>
    </w:rPr>
  </w:style>
  <w:style w:type="character" w:customStyle="1" w:styleId="62">
    <w:name w:val="Верхний колонтитул Знак"/>
    <w:link w:val="28"/>
    <w:qFormat/>
    <w:uiPriority w:val="99"/>
    <w:rPr>
      <w:sz w:val="24"/>
    </w:rPr>
  </w:style>
  <w:style w:type="character" w:customStyle="1" w:styleId="63">
    <w:name w:val="Нижний колонтитул Знак"/>
    <w:link w:val="40"/>
    <w:uiPriority w:val="0"/>
    <w:rPr>
      <w:sz w:val="24"/>
      <w:szCs w:val="24"/>
    </w:rPr>
  </w:style>
  <w:style w:type="character" w:customStyle="1" w:styleId="64">
    <w:name w:val="Заголовок Знак"/>
    <w:link w:val="39"/>
    <w:uiPriority w:val="0"/>
    <w:rPr>
      <w:sz w:val="28"/>
      <w:szCs w:val="24"/>
    </w:rPr>
  </w:style>
  <w:style w:type="character" w:customStyle="1" w:styleId="65">
    <w:name w:val="Прощание Знак"/>
    <w:link w:val="20"/>
    <w:semiHidden/>
    <w:uiPriority w:val="0"/>
    <w:rPr>
      <w:sz w:val="24"/>
      <w:szCs w:val="24"/>
    </w:rPr>
  </w:style>
  <w:style w:type="character" w:customStyle="1" w:styleId="66">
    <w:name w:val="Основной текст Знак1"/>
    <w:qFormat/>
    <w:uiPriority w:val="99"/>
    <w:rPr>
      <w:sz w:val="24"/>
      <w:szCs w:val="24"/>
    </w:rPr>
  </w:style>
  <w:style w:type="character" w:customStyle="1" w:styleId="67">
    <w:name w:val="Основной текст с отступом Знак"/>
    <w:link w:val="35"/>
    <w:semiHidden/>
    <w:qFormat/>
    <w:uiPriority w:val="0"/>
    <w:rPr>
      <w:rFonts w:ascii="MS Sans Serif" w:hAnsi="MS Sans Serif"/>
      <w:sz w:val="28"/>
    </w:rPr>
  </w:style>
  <w:style w:type="character" w:customStyle="1" w:styleId="68">
    <w:name w:val="Дата Знак"/>
    <w:link w:val="32"/>
    <w:semiHidden/>
    <w:qFormat/>
    <w:uiPriority w:val="0"/>
    <w:rPr>
      <w:sz w:val="24"/>
    </w:rPr>
  </w:style>
  <w:style w:type="character" w:customStyle="1" w:styleId="69">
    <w:name w:val="Основной текст 3 Знак"/>
    <w:link w:val="45"/>
    <w:semiHidden/>
    <w:qFormat/>
    <w:uiPriority w:val="0"/>
    <w:rPr>
      <w:bCs/>
      <w:caps/>
    </w:rPr>
  </w:style>
  <w:style w:type="character" w:customStyle="1" w:styleId="70">
    <w:name w:val="Основной текст с отступом 2 Знак"/>
    <w:link w:val="46"/>
    <w:semiHidden/>
    <w:qFormat/>
    <w:uiPriority w:val="0"/>
    <w:rPr>
      <w:sz w:val="22"/>
    </w:rPr>
  </w:style>
  <w:style w:type="character" w:customStyle="1" w:styleId="71">
    <w:name w:val="Основной текст с отступом 3 Знак"/>
    <w:link w:val="23"/>
    <w:semiHidden/>
    <w:uiPriority w:val="0"/>
    <w:rPr>
      <w:color w:val="FF0000"/>
    </w:rPr>
  </w:style>
  <w:style w:type="character" w:customStyle="1" w:styleId="72">
    <w:name w:val="Текст Знак"/>
    <w:link w:val="22"/>
    <w:semiHidden/>
    <w:qFormat/>
    <w:uiPriority w:val="0"/>
    <w:rPr>
      <w:rFonts w:ascii="Courier New" w:hAnsi="Courier New"/>
      <w:szCs w:val="24"/>
    </w:rPr>
  </w:style>
  <w:style w:type="paragraph" w:customStyle="1" w:styleId="73">
    <w:name w:val="Уважаемый"/>
    <w:qFormat/>
    <w:uiPriority w:val="0"/>
    <w:pPr>
      <w:spacing w:before="120" w:after="120" w:line="360" w:lineRule="auto"/>
      <w:jc w:val="center"/>
    </w:pPr>
    <w:rPr>
      <w:rFonts w:ascii="Times New Roman" w:hAnsi="Times New Roman" w:eastAsia="Times New Roman" w:cs="Times New Roman"/>
      <w:bCs/>
      <w:sz w:val="28"/>
      <w:lang w:val="ru-RU" w:eastAsia="ru-RU" w:bidi="ar-SA"/>
    </w:rPr>
  </w:style>
  <w:style w:type="paragraph" w:customStyle="1" w:styleId="74">
    <w:name w:val="Абзац"/>
    <w:basedOn w:val="1"/>
    <w:uiPriority w:val="0"/>
    <w:pPr>
      <w:spacing w:before="120" w:line="360" w:lineRule="auto"/>
      <w:ind w:firstLine="851"/>
      <w:jc w:val="both"/>
    </w:pPr>
    <w:rPr>
      <w:sz w:val="28"/>
    </w:rPr>
  </w:style>
  <w:style w:type="character" w:customStyle="1" w:styleId="75">
    <w:name w:val="Заголовок 5 Знак"/>
    <w:link w:val="6"/>
    <w:uiPriority w:val="0"/>
    <w:rPr>
      <w:b/>
      <w:sz w:val="24"/>
    </w:rPr>
  </w:style>
  <w:style w:type="character" w:customStyle="1" w:styleId="76">
    <w:name w:val="Заголовок 7 Знак"/>
    <w:link w:val="8"/>
    <w:qFormat/>
    <w:uiPriority w:val="0"/>
    <w:rPr>
      <w:b/>
      <w:sz w:val="24"/>
    </w:rPr>
  </w:style>
  <w:style w:type="character" w:customStyle="1" w:styleId="77">
    <w:name w:val="Заголовок 8 Знак"/>
    <w:link w:val="9"/>
    <w:uiPriority w:val="0"/>
    <w:rPr>
      <w:b/>
      <w:sz w:val="22"/>
    </w:rPr>
  </w:style>
  <w:style w:type="character" w:customStyle="1" w:styleId="78">
    <w:name w:val="Текст сноски Знак"/>
    <w:basedOn w:val="11"/>
    <w:link w:val="25"/>
    <w:semiHidden/>
    <w:uiPriority w:val="99"/>
  </w:style>
  <w:style w:type="character" w:customStyle="1" w:styleId="79">
    <w:name w:val="Основной текст с отступом Знак1"/>
    <w:semiHidden/>
    <w:uiPriority w:val="0"/>
    <w:rPr>
      <w:sz w:val="24"/>
    </w:rPr>
  </w:style>
  <w:style w:type="character" w:customStyle="1" w:styleId="80">
    <w:name w:val="Основной текст 2 Знак"/>
    <w:link w:val="18"/>
    <w:semiHidden/>
    <w:qFormat/>
    <w:uiPriority w:val="0"/>
    <w:rPr>
      <w:rFonts w:ascii="Times New Roman CYR" w:hAnsi="Times New Roman CYR"/>
      <w:sz w:val="22"/>
    </w:rPr>
  </w:style>
  <w:style w:type="paragraph" w:customStyle="1" w:styleId="81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8F0F90-BA1C-4A9B-B3BD-271A41FC3C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ГКС РФ</Company>
  <Pages>1</Pages>
  <Words>2919</Words>
  <Characters>16644</Characters>
  <Lines>138</Lines>
  <Paragraphs>39</Paragraphs>
  <TotalTime>7</TotalTime>
  <ScaleCrop>false</ScaleCrop>
  <LinksUpToDate>false</LinksUpToDate>
  <CharactersWithSpaces>19524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2023-04-03T05:46:00Z</dcterms:created>
  <dc:creator>555</dc:creator>
  <cp:lastModifiedBy>kostelcevo</cp:lastModifiedBy>
  <cp:lastPrinted>2022-12-21T09:13:00Z</cp:lastPrinted>
  <dcterms:modified xsi:type="dcterms:W3CDTF">2024-04-02T06:31:38Z</dcterms:modified>
  <dc:title>ФЕДЕРАЛЬНОЕ ГОСУДАРСТВЕННОЕ СТАТИСТИЧЕСКОЕ НАБЛЮДЕНИЕ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A8CA29E29EAD4DDD9E53F91781CF8F58</vt:lpwstr>
  </property>
</Properties>
</file>