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768350" cy="786130"/>
            <wp:effectExtent l="0" t="0" r="12700" b="1397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11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АДМИНИСТРАЦИЯ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КУРЧАТОВСКОГО РАЙОНА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КУРСКОЙ ОБЛАСТИ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Главам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numFmt w:val="decimal"/>
          </w:footnotePr>
          <w:pgSz w:w="11900" w:h="16840"/>
          <w:pgMar w:top="1102" w:right="1985" w:bottom="1448" w:left="2243" w:header="674" w:footer="1020" w:gutter="0"/>
          <w:pgNumType w:start="1"/>
          <w:cols w:equalWidth="0" w:num="2">
            <w:col w:w="3409" w:space="1174"/>
            <w:col w:w="3089"/>
          </w:cols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муниципальных образований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Курчатовского района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Курской области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307251, Курская область, г. Курчатов,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пр. Коммунистический, д. 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тел.:+7 (47131)4-12-81,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факс: +7 (47131)4-12-81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instrText xml:space="preserve">HYPERLINK "mailto:rayadmin@mail.ru"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rayadmin@mail.ru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;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\ууу\у.курчатовский-район.рф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4909"/>
        </w:tabs>
        <w:bidi w:val="0"/>
        <w:spacing w:before="0" w:after="340" w:line="240" w:lineRule="auto"/>
        <w:ind w:left="1140" w:right="0" w:firstLine="0"/>
        <w:jc w:val="left"/>
      </w:pPr>
      <w:r>
        <w:rPr>
          <w:i/>
          <w:iCs/>
          <w:color w:val="9693B5"/>
          <w:spacing w:val="0"/>
          <w:w w:val="100"/>
          <w:position w:val="0"/>
          <w:sz w:val="26"/>
          <w:szCs w:val="26"/>
          <w:u w:val="single"/>
          <w:shd w:val="clear" w:color="auto" w:fill="auto"/>
          <w:lang w:val="en-US" w:eastAsia="en-US" w:bidi="en-US"/>
        </w:rPr>
        <w:t>lA-Cf</w:t>
      </w:r>
      <w:r>
        <w:rPr>
          <w:i/>
          <w:iCs/>
          <w:color w:val="9693B5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-ДГЛ</w:t>
      </w:r>
      <w:r>
        <w:rPr>
          <w:color w:val="9693B5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№ </w:t>
      </w:r>
      <w:r>
        <w:rPr>
          <w:color w:val="9693B5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7Г5</w:t>
      </w:r>
      <w:r>
        <w:rPr>
          <w:color w:val="9693B5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821"/>
        </w:tabs>
        <w:bidi w:val="0"/>
        <w:spacing w:before="0" w:after="56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письмом заместителя начальника - начальника отдела начислений и правового регулирования Государственной жилищной инспекции Курской области О.В. Денисовой (исх. от 29.12.2022 г. №01.05-05-21/9475) о необходимости проведения мероприятий связанных с популяризацией ГИС ЖКХ среди населения Курской области, направляю в Ваш адрес рекомендации по организации информационного сопровождения государственной информационной системы жилищно-коммунального хозяйства (ГИС ЖКХ).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Прошу Вас разместить вышеуказанную информацию в местах общего пользования МКД, в группах социальных сетях, на официальных сайтах в сети интернет и другими доступными способами и в срок до 16.01.2023г. предоставить информацию в адрес Администрации Курчатовского района Курской области,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instrText xml:space="preserve">HYPERLINK "mailto:gkukurch@mail.ru"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gkukurch@mail.ru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1560" w:right="0" w:firstLine="0"/>
        <w:jc w:val="left"/>
      </w:pPr>
      <w:r>
        <w:drawing>
          <wp:anchor distT="0" distB="0" distL="114300" distR="1181735" simplePos="0" relativeHeight="251659264" behindDoc="0" locked="0" layoutInCell="1" allowOverlap="1">
            <wp:simplePos x="0" y="0"/>
            <wp:positionH relativeFrom="page">
              <wp:posOffset>5310505</wp:posOffset>
            </wp:positionH>
            <wp:positionV relativeFrom="paragraph">
              <wp:posOffset>406400</wp:posOffset>
            </wp:positionV>
            <wp:extent cx="554990" cy="670560"/>
            <wp:effectExtent l="0" t="0" r="16510" b="15240"/>
            <wp:wrapSquare wrapText="lef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6057900</wp:posOffset>
                </wp:positionH>
                <wp:positionV relativeFrom="paragraph">
                  <wp:posOffset>678180</wp:posOffset>
                </wp:positionV>
                <wp:extent cx="875665" cy="20828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А.В. Ярыгин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1026" o:spt="202" type="#_x0000_t202" style="position:absolute;left:0pt;margin-left:477pt;margin-top:53.4pt;height:16.4pt;width:68.95pt;mso-position-horizontal-relative:page;z-index:251660288;mso-width-relative:page;mso-height-relative:page;" filled="f" stroked="f" coordsize="21600,21600" o:gfxdata="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vVvj/2QAAAAwBAAAP&#10;AAAAAAAAAAEAIAAAACIAAABkcnMvZG93bnJldi54bWxQSwECFAAUAAAACACHTuJAs66zLqUBAABj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А.В. Ярыгин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Приложение: на 3-х листах.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5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Глава района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Исп. Сеина А.О.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840"/>
        <w:jc w:val="left"/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8(47131)4-33-61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840"/>
        <w:jc w:val="left"/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840"/>
        <w:jc w:val="left"/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840"/>
        <w:jc w:val="left"/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  <w:bookmarkStart w:id="0" w:name="_GoBack"/>
      <w:bookmarkEnd w:id="0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организации информационного сопровождения государственной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информационной системы жилищно-коммунального хозяйства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(ГИС ЖКХ)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0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целях единообразного подхода к сопровождению ГИС ЖКХ разработаны общие визуальные материалы, который находятся по ссылке </w:t>
      </w:r>
      <w:r>
        <w:fldChar w:fldCharType="begin"/>
      </w:r>
      <w:r>
        <w:instrText xml:space="preserve">HYPERLINK "https://disk.Yandex.ru/cl/B4-QDc_GMuKeqA"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https://disk.Yandex.ru/cl/B4-QDc GMuKeqA</w:t>
      </w:r>
      <w:r>
        <w:fldChar w:fldCharType="end"/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0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Региональный брендинг допускается, но должен быть реализован в соответствии с правилами ко-брендинга.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0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реализации информационной кампании согласован общефедеральный слоган: «Просто.Удобно.Честно». Рекомендуется использовать слоган при размещении материалов о системе.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0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целях информирования могут быть использованы следующие каналы - эфирные, печатные, интернет-СМИ, социальные сети, публичные интернет- страницы (паблики), информационные порталы и официальные сайты, блоги, рекламные носители различных форматов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(Indoor, Outdoor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транзитная реклама на транспорте). Регион и муниципальное образование вправе самостоятельно определить набор наиболее подходящих форматов для размещения и их количество. Кроме того, для повышения информированности о системе могут быть использованы внутренние (интранет) ресурсы.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0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мониторинга информационного поля ГИС ЖКХ Минстроем России будет сформирован отчет об информационном сопровождении ГИС ЖКХ в субъектах Российской Федерации (далее - Отчет).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0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каждого субъекта Российской Федерации будет определен минимальный целевой прогнозируемый показатель по информированию. Если субъект Российской Федерации не выполнил минимальный целевой прогнозируемый показатель — он будет окрашен в Отчете в красный цвет. Если субъект выполнил показатель (больше или равно) — цвет будет зеленым с визуальным отличием в сторону более насыщенных цветов при перевыполнении.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9"/>
        </w:tabs>
        <w:bidi w:val="0"/>
        <w:spacing w:before="0" w:after="0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Минимальный целевой прогнозируемый показатель установлен для каждого субъекта Российской Федерации отдельно.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9"/>
        </w:tabs>
        <w:bidi w:val="0"/>
        <w:spacing w:before="0" w:after="0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учета также принимаются ссылки на публикации, размещенные в СМИ, на сайтах органов государственной власти субъектов Российской Федерации и в социальных сетях.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9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 для рекламных размещений в печатных СМИ.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102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Разница в размещении внутри издания — на страницах ближе к началу, к середине или к концу — незначительна для газет. Принято считать, что лучшие полосы в изданиях — с 3-й по 20-ю.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102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внутри издания важно при публикации рекламы на развороте (левая и правая полосы вместе). В таком случае стоит выбрать центральный разворот. Рекомендуется размещать информацию рядом с журналистскими материалами или готовить специальные тематические статьи от редакции.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37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 для размещения в информационно-телекоммуникационной сети «Интернет» (далее - Интернет) и социальных сетях.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036"/>
        </w:tabs>
        <w:bidi w:val="0"/>
        <w:spacing w:before="0" w:after="0"/>
        <w:ind w:left="102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размещении публикаций в Интернете рекомендуется использовать ключевые слова, которые будут формировать общую федеральную повестку: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Минстрой России;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ГИС ЖКХ.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036"/>
        </w:tabs>
        <w:bidi w:val="0"/>
        <w:spacing w:before="0" w:after="0"/>
        <w:ind w:left="102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размещении публикаций в Интернете рекомендуется использовать хэштеги: #ЖКХменяется.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89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Наружная реклама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(Outdoor).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040"/>
        </w:tabs>
        <w:bidi w:val="0"/>
        <w:spacing w:before="0" w:after="0"/>
        <w:ind w:left="102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Рекомендуется размещение рекламы на билбордах. Стандартный формат билборда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3x6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метров.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040"/>
        </w:tabs>
        <w:bidi w:val="0"/>
        <w:spacing w:before="0" w:after="0"/>
        <w:ind w:left="102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Рекомендуется размещение рекламы на цифровых билбордах. За счет новизны и постоянной смены кадров цифровые билборды более эффективный инструмент, чем печатные билборды.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028"/>
          <w:tab w:val="left" w:pos="3720"/>
          <w:tab w:val="left" w:pos="6470"/>
          <w:tab w:val="left" w:pos="8519"/>
        </w:tabs>
        <w:bidi w:val="0"/>
        <w:spacing w:before="0" w:after="0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Рекомендуемое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распределение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адресной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программы: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/>
        <w:ind w:left="10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50% - центральные улицы муниципального образования, остальные 50% распределяются по спальным районам муниципального образования.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155"/>
        </w:tabs>
        <w:bidi w:val="0"/>
        <w:spacing w:before="0" w:after="0"/>
        <w:ind w:left="980" w:right="0" w:hanging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размещения рекламы на цифровых билбордах выбираются основные магистрали, соединяющие спальные районы, транспортные развязки. Рекомендуется выбирать конструкции на «стоп-линиях» - перекрестки, светофоры, пешеходные переходы, остановки общественного транспорта. Желательно использовать стороны «А» (работающие по ходу движения транспорта). Стороны должны быть хорошо просматриваемые, без закрывающих просмотр деревьев, знаков, столбов, зданий.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155"/>
        </w:tabs>
        <w:bidi w:val="0"/>
        <w:spacing w:before="0" w:after="0"/>
        <w:ind w:left="980" w:right="0" w:hanging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Рекомендуемая продолжительность контакта наружной рекламы с пешеходами примерно 30-40 секунд, автомобилистами - около 1-3 секунды.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155"/>
        </w:tabs>
        <w:bidi w:val="0"/>
        <w:spacing w:before="0" w:after="0"/>
        <w:ind w:left="980" w:right="0" w:hanging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Рекомендуется размещение рекламы на остановочных павильонах. Эффективность определяется следующими показателями: большая проходимость, длительный контакт человека с информацией (порядка 10 минут), информация всегда находится на уровне глаз, воздействует на разные категории людей.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155"/>
        </w:tabs>
        <w:bidi w:val="0"/>
        <w:spacing w:before="0" w:after="0"/>
        <w:ind w:left="980" w:right="0" w:hanging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Рекомендуется размещение рекламы на транспорте (транзитная реклама). Наиболее эффективны маршруты общественного транспорта: обслуживающие плотную застройку, передвигающиеся в центральной части города, линейные (продолжительные участки маршрута по прямой).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50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Внутренняя реклама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(Indoor).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155"/>
        </w:tabs>
        <w:bidi w:val="0"/>
        <w:spacing w:before="0" w:after="0"/>
        <w:ind w:left="980" w:right="0" w:hanging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Рекомендуется размещение рекламы на стендах в лифтах. Преимущества такой рекламы: широкий охват аудитории, гарантированно-высокая частота контакта, ежедневный контакт с информацией. Макет размещается на уровне глаз, что позволяет жителю ежедневно прочитывать информацию.</w:t>
      </w:r>
    </w:p>
    <w:p>
      <w:pPr>
        <w:pStyle w:val="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1155"/>
        </w:tabs>
        <w:bidi w:val="0"/>
        <w:spacing w:before="0" w:after="0"/>
        <w:ind w:left="980" w:right="0" w:hanging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Рекомендуется размещение рекламы на экранах в торгово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развлекательных центрах и спортивных центрах.</w:t>
      </w:r>
    </w:p>
    <w:sectPr>
      <w:footnotePr>
        <w:numFmt w:val="decimal"/>
      </w:footnotePr>
      <w:type w:val="continuous"/>
      <w:pgSz w:w="11900" w:h="16840"/>
      <w:pgMar w:top="998" w:right="901" w:bottom="1231" w:left="941" w:header="570" w:footer="80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-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60747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_"/>
    <w:basedOn w:val="2"/>
    <w:link w:val="5"/>
    <w:uiPriority w:val="0"/>
    <w:rPr>
      <w:rFonts w:ascii="Times New Roman" w:hAnsi="Times New Roman" w:eastAsia="Times New Roman" w:cs="Times New Roman"/>
      <w:u w:val="none"/>
    </w:rPr>
  </w:style>
  <w:style w:type="paragraph" w:customStyle="1" w:styleId="5">
    <w:name w:val="Основной текст (2)"/>
    <w:basedOn w:val="1"/>
    <w:link w:val="4"/>
    <w:uiPriority w:val="0"/>
    <w:pPr>
      <w:widowControl w:val="0"/>
      <w:shd w:val="clear" w:color="auto" w:fill="FFFFFF"/>
      <w:ind w:left="840" w:firstLine="520"/>
    </w:pPr>
    <w:rPr>
      <w:rFonts w:ascii="Times New Roman" w:hAnsi="Times New Roman" w:eastAsia="Times New Roman" w:cs="Times New Roman"/>
      <w:u w:val="none"/>
    </w:rPr>
  </w:style>
  <w:style w:type="character" w:customStyle="1" w:styleId="6">
    <w:name w:val="Подпись к картинке_"/>
    <w:basedOn w:val="2"/>
    <w:link w:val="7"/>
    <w:uiPriority w:val="0"/>
    <w:rPr>
      <w:rFonts w:ascii="Times New Roman" w:hAnsi="Times New Roman" w:eastAsia="Times New Roman" w:cs="Times New Roman"/>
      <w:u w:val="none"/>
    </w:rPr>
  </w:style>
  <w:style w:type="paragraph" w:customStyle="1" w:styleId="7">
    <w:name w:val="Подпись к картинке"/>
    <w:basedOn w:val="1"/>
    <w:link w:val="6"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u w:val="none"/>
    </w:rPr>
  </w:style>
  <w:style w:type="character" w:customStyle="1" w:styleId="8">
    <w:name w:val="Основной текст (3)_"/>
    <w:basedOn w:val="2"/>
    <w:link w:val="9"/>
    <w:uiPriority w:val="0"/>
    <w:rPr>
      <w:rFonts w:ascii="Arial" w:hAnsi="Arial" w:eastAsia="Arial" w:cs="Arial"/>
      <w:sz w:val="18"/>
      <w:szCs w:val="18"/>
      <w:u w:val="none"/>
    </w:rPr>
  </w:style>
  <w:style w:type="paragraph" w:customStyle="1" w:styleId="9">
    <w:name w:val="Основной текст (3)"/>
    <w:basedOn w:val="1"/>
    <w:link w:val="8"/>
    <w:uiPriority w:val="0"/>
    <w:pPr>
      <w:widowControl w:val="0"/>
      <w:shd w:val="clear" w:color="auto" w:fill="FFFFFF"/>
      <w:spacing w:line="314" w:lineRule="auto"/>
      <w:jc w:val="center"/>
    </w:pPr>
    <w:rPr>
      <w:rFonts w:ascii="Arial" w:hAnsi="Arial" w:eastAsia="Arial" w:cs="Arial"/>
      <w:sz w:val="18"/>
      <w:szCs w:val="18"/>
      <w:u w:val="none"/>
    </w:rPr>
  </w:style>
  <w:style w:type="character" w:customStyle="1" w:styleId="10">
    <w:name w:val="Основной текст_"/>
    <w:basedOn w:val="2"/>
    <w:link w:val="11"/>
    <w:uiPriority w:val="0"/>
    <w:rPr>
      <w:rFonts w:ascii="Arial" w:hAnsi="Arial" w:eastAsia="Arial" w:cs="Arial"/>
      <w:sz w:val="26"/>
      <w:szCs w:val="26"/>
      <w:u w:val="none"/>
    </w:rPr>
  </w:style>
  <w:style w:type="paragraph" w:customStyle="1" w:styleId="11">
    <w:name w:val="Основной текст1"/>
    <w:basedOn w:val="1"/>
    <w:link w:val="10"/>
    <w:uiPriority w:val="0"/>
    <w:pPr>
      <w:widowControl w:val="0"/>
      <w:shd w:val="clear" w:color="auto" w:fill="FFFFFF"/>
      <w:spacing w:line="360" w:lineRule="auto"/>
    </w:pPr>
    <w:rPr>
      <w:rFonts w:ascii="Arial" w:hAnsi="Arial" w:eastAsia="Arial" w:cs="Arial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2023-01-13T05:38:44Z</dcterms:created>
  <dc:creator>Пользователь</dc:creator>
  <cp:lastModifiedBy>kostelcevo</cp:lastModifiedBy>
  <dcterms:modified xsi:type="dcterms:W3CDTF">2023-01-13T05:41:09Z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BE565AAA38834B678692E1807EBA4C6D</vt:lpwstr>
  </property>
</Properties>
</file>