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firstLine="709"/>
        <w:jc w:val="center"/>
        <w:rPr>
          <w:rFonts w:ascii="Times New Roman" w:hAnsi="Times New Roman" w:cs="Times New Roman"/>
          <w:sz w:val="28"/>
          <w:szCs w:val="28"/>
        </w:rPr>
      </w:pPr>
      <w:r>
        <w:rPr>
          <w:rFonts w:hint="default" w:ascii="Times New Roman" w:hAnsi="Times New Roman" w:cs="Times New Roman"/>
          <w:b/>
          <w:bCs/>
          <w:sz w:val="28"/>
          <w:szCs w:val="28"/>
          <w:lang w:val="ru-RU"/>
        </w:rPr>
        <w:t xml:space="preserve">1 </w:t>
      </w:r>
      <w:r>
        <w:rPr>
          <w:rFonts w:ascii="Times New Roman" w:hAnsi="Times New Roman" w:cs="Times New Roman"/>
          <w:b/>
          <w:bCs/>
          <w:sz w:val="28"/>
          <w:szCs w:val="28"/>
        </w:rPr>
        <w:t xml:space="preserve">До возникновения обязательств по управлению многоквартирным домом у других лиц управляющая компания не вправе уклониться от указанной деятельности </w:t>
      </w:r>
    </w:p>
    <w:p>
      <w:pPr>
        <w:spacing w:after="0" w:line="240" w:lineRule="auto"/>
        <w:ind w:firstLine="709"/>
        <w:jc w:val="both"/>
        <w:rPr>
          <w:rFonts w:ascii="Times New Roman" w:hAnsi="Times New Roman" w:cs="Times New Roman"/>
          <w:sz w:val="28"/>
          <w:szCs w:val="28"/>
        </w:rPr>
      </w:pP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Взаимосвязанные ч. 10 ст. 162 и ч. 3 ст. 200 ЖК РФ признаны не противоречащими Конституции РФ в той мере, в какой по своему конституционно-правовому смыслу они предполагают, что во всяком случае на управляющую организацию, не передавшую техническую документацию и другие связанные с управлением многоквартирным домом документы, технические средства и оборудование, необходимые для эксплуатации многоквартирного дома и управления им, новому субъекту управления, возлагается обязанность продолжить управление многоквартирным домом после прекращения договора управления таким домом в связи с окончанием срока его действия и внесения об этом сведений в реестр лицензий субъекта РФ до возникновения обязательств по управлению многоквартирным домом у другой управляющей организации либо до наступления иных обстоятельств, определенных ч. 3 ст. 200 ЖК РФ.</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Конституционный Суд, в частности, отметил, что обязанность управляющей организации по продолжению управления многоквартирным домом и оплате коммунальных ресурсов, поставленных в такой дом в целях содержания общего имущества, в системе действующего правового регулирования не предполагает не ограниченного во времени существования, поскольку ЖК РФ достаточно подробно оговаривает порядок и сроки принятия общим собранием собственников помещений в многоквартирном доме решения о выборе способа управления им; в случае, если необходимое решение не принято или не реализовано, данный Кодекс предусматривает обязанность органа местного самоуправления провести открытый конкурс по отбору управляющей организации; если же конкурс признан несостоявшимся - определить управляющую организацию своим решением. При этом, хотя орган местного самоуправления и не является стороной договора управления многоквартирным домом, в случае неисполнения обязанности совершить действия, направленные на определение новой управляющей организации, предыдущая управляющая организация не лишена возможности оспорить незаконное бездействие органа местного самоуправления в судебном порядке.</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Помощник межрайпрокурора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Ларина В.С.</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center"/>
        <w:rPr>
          <w:rFonts w:ascii="Times New Roman" w:hAnsi="Times New Roman" w:cs="Times New Roman"/>
          <w:b/>
          <w:bCs/>
          <w:sz w:val="28"/>
          <w:szCs w:val="28"/>
        </w:rPr>
      </w:pPr>
      <w:r>
        <w:rPr>
          <w:rFonts w:hint="default" w:ascii="Times New Roman" w:hAnsi="Times New Roman" w:cs="Times New Roman"/>
          <w:b/>
          <w:bCs/>
          <w:sz w:val="28"/>
          <w:szCs w:val="28"/>
          <w:lang w:val="ru-RU"/>
        </w:rPr>
        <w:t xml:space="preserve">2 </w:t>
      </w:r>
      <w:r>
        <w:rPr>
          <w:rFonts w:ascii="Times New Roman" w:hAnsi="Times New Roman" w:cs="Times New Roman"/>
          <w:b/>
          <w:bCs/>
          <w:sz w:val="28"/>
          <w:szCs w:val="28"/>
        </w:rPr>
        <w:t>КС РФ вновь подтвердил компетенцию третейских судов на рассмотрение споров о правах на недвижимость</w:t>
      </w:r>
    </w:p>
    <w:p>
      <w:pPr>
        <w:spacing w:after="0" w:line="240" w:lineRule="auto"/>
        <w:jc w:val="center"/>
        <w:rPr>
          <w:rFonts w:ascii="Times New Roman" w:hAnsi="Times New Roman" w:cs="Times New Roman"/>
          <w:sz w:val="28"/>
          <w:szCs w:val="28"/>
        </w:rPr>
      </w:pP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 2 ч. 4 ст. 426 ГПК РФ признан не противоречащим Конституции в той мере, в какой он по своему конституционно-правовому смыслу в системе действующего правового регулирования и с учетом правовых позиций, выраженных в постановлениях Конституционного Суда от 26 мая 2011 года N 10-П и от 3 октября 2023 года N 46-П, не исключает:</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обязанности государственного суда удовлетворить заявление о выдаче исполнительного листа на принудительное исполнение решения третейского суда по спору о праве на недвижимое имущество в отсутствие иных оснований для отказа в его выдаче, если государственный суд не установит и исчерпывающим образом не мотивирует вывод о противоречии исполнения такого решения или самого решения публичному порядку РФ (с указанием, в чем именно состоит противоречие, и конкретных положений публичного порядка, им затронутых), притом что такой вывод не может основываться лишь на том, что третейским судом разрешен спор о праве на недвижимое имущество;</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обязанности государственного суда, рассматривающего заявление о выдаче исполнительного листа на принудительное исполнение решения третейского суда, принять при возникновении обоснованных сомнений в соответствии такого исполнения или его основания публичному порядку РФ - включая требования о добросовестном поведении и о соблюдении явно и недвусмысленно выраженных (императивных) предписаний закона - меры, предусмотренные процессуальным законом, для того, чтобы предотвратить получение сторонами разрешенного третейским судом спора преимуществ из своего незаконного или недобросовестного поведения.</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Придание названной норме иного смысла вступало бы в противоречие с предписаниями Конституции и означало бы преодоление судами правовых позиций, ранее сформулированных Конституционным Судом, что является недопустимым.</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Помощник межрайпрокурора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         Дуденко А.В.</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hint="default" w:ascii="Times New Roman" w:hAnsi="Times New Roman" w:cs="Times New Roman"/>
          <w:b/>
          <w:bCs/>
          <w:sz w:val="28"/>
          <w:szCs w:val="28"/>
          <w:lang w:val="ru-RU"/>
        </w:rPr>
        <w:t xml:space="preserve">3 </w:t>
      </w:r>
      <w:r>
        <w:rPr>
          <w:rFonts w:ascii="Times New Roman" w:hAnsi="Times New Roman" w:cs="Times New Roman"/>
          <w:b/>
          <w:bCs/>
          <w:sz w:val="28"/>
          <w:szCs w:val="28"/>
        </w:rPr>
        <w:t>Усилена административная ответственность за нарушение правил обслуживания внутридомового и внутриквартирного газового оборудования</w:t>
      </w:r>
    </w:p>
    <w:p>
      <w:pPr>
        <w:spacing w:after="0" w:line="240" w:lineRule="auto"/>
        <w:ind w:firstLine="709"/>
        <w:jc w:val="both"/>
        <w:rPr>
          <w:rFonts w:ascii="Times New Roman" w:hAnsi="Times New Roman" w:cs="Times New Roman"/>
          <w:sz w:val="28"/>
          <w:szCs w:val="28"/>
        </w:rPr>
      </w:pP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частности, отказ в допуске в порядке и случаях, установленных законодательством, представителя специализированной организации для выполнения работ (оказания услуг) по техническому обслуживанию и ремонту внутридомового газового оборудования в многоквартирном доме, по техническому обслуживанию внутриквартирного газового оборудования в многоквартирном доме или внутридомового газового оборудования в жилом доме (домовладении) либо для приостановления подачи газа повлечет наложение штрафа на граждан в размере от пяти тысяч до десяти тысяч рублей; на должностных лиц - от двадцати пяти тысяч до ста тысяч рублей; на юридических лиц - от двухсот тысяч до пятисот тысяч рублей.</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Также усилена ответственность за уклонение от заключения договора о техническом обслуживании и ремонте внутридомового газового оборудования или договора о техническом обслуживании внутриквартирного газового оборудования, если заключение таких договоров является обязательным.</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работ (оказание услуг) по техническому обслуживанию и ремонту внутридомового и (или) внутриквартирного газового оборудования либо работ по техническому диагностированию газопроводов, входящих в состав внутридомового и (или) внутриквартирного газового оборудования, организацией, не отвечающей требованиям законодательства о газоснабжении, повлечет наложение штрафа на должностных лиц в размере от пятидесяти тысяч до ста тысяч рублей; на юридических лиц - от ста тысяч до пятисот тысяч рублей.</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Ст. помощник межрайпрокурора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    Машошина Л.А.</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hint="default" w:ascii="Times New Roman" w:hAnsi="Times New Roman" w:cs="Times New Roman"/>
          <w:b/>
          <w:bCs/>
          <w:sz w:val="28"/>
          <w:szCs w:val="28"/>
          <w:lang w:val="ru-RU"/>
        </w:rPr>
        <w:t xml:space="preserve">4 </w:t>
      </w:r>
      <w:r>
        <w:rPr>
          <w:rFonts w:ascii="Times New Roman" w:hAnsi="Times New Roman" w:cs="Times New Roman"/>
          <w:b/>
          <w:bCs/>
          <w:sz w:val="28"/>
          <w:szCs w:val="28"/>
        </w:rPr>
        <w:t>Установлена административная ответственность за спам-звонки и недобросовестную рекламу микрофинансовых организаций</w:t>
      </w:r>
    </w:p>
    <w:p>
      <w:pPr>
        <w:spacing w:after="0" w:line="240" w:lineRule="auto"/>
        <w:ind w:firstLine="708"/>
        <w:jc w:val="both"/>
        <w:rPr>
          <w:rFonts w:ascii="Times New Roman" w:hAnsi="Times New Roman" w:cs="Times New Roman"/>
          <w:sz w:val="28"/>
          <w:szCs w:val="28"/>
        </w:rPr>
      </w:pP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Так, нарушение установленных законодательством о рекламе требований к рекламе, распространяемой по сетям электросвязи, повлечет наложение административного штрафа на граждан в размере от 10 до 20 тысяч рублей, на должностных лиц - от 20 до 100 тысяч рублей, на юридических лиц - от 300 тысяч до 1 млн рублей.</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Кроме этого, законом ответственность за недобросовестную рекламу услуг по предоставлению кредитов и займов распространена на микрофинансовые организации, и увеличены размеры штрафов за указанное правонарушение. Теперь размер штрафа составляет: для должностных лиц - от 40 до 100 тысяч рублей; для юридических лиц - от 600 тысяч до 1,6 млн рублей.</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Ст. помощник межрайпрокурора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    Боров З.Р.</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hint="default" w:ascii="Times New Roman" w:hAnsi="Times New Roman" w:cs="Times New Roman"/>
          <w:b/>
          <w:bCs/>
          <w:sz w:val="28"/>
          <w:szCs w:val="28"/>
          <w:lang w:val="ru-RU"/>
        </w:rPr>
        <w:t xml:space="preserve">5 </w:t>
      </w:r>
      <w:r>
        <w:rPr>
          <w:rFonts w:ascii="Times New Roman" w:hAnsi="Times New Roman" w:cs="Times New Roman"/>
          <w:b/>
          <w:bCs/>
          <w:sz w:val="28"/>
          <w:szCs w:val="28"/>
        </w:rPr>
        <w:t>В Госдуму внесен законопроект, устанавливающий новый вид административного наказания за ряд правонарушений в сфере закупок и гособоронзаказа</w:t>
      </w:r>
    </w:p>
    <w:p>
      <w:pPr>
        <w:spacing w:after="0" w:line="240" w:lineRule="auto"/>
        <w:ind w:firstLine="708"/>
        <w:jc w:val="both"/>
        <w:rPr>
          <w:rFonts w:ascii="Times New Roman" w:hAnsi="Times New Roman" w:cs="Times New Roman"/>
          <w:sz w:val="28"/>
          <w:szCs w:val="28"/>
        </w:rPr>
      </w:pP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Так, законопроектом в целях сокращения числа лиц, привлекаемых к административной ответственности в виде административного штрафа, в КоАП РФ закрепляется возможность назначения административного наказания в виде предупреждения за отдельные правонарушения при выполнении государственного или оборонного заказа.</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Вносимыми в КоАП РФ изменениями некоторые его статьи об административной ответственности в сфере госзакупок и гособоронзаказа признаются утратившими силу. Взамен Кодекс предлагается дополнить новыми статьями, предусматривающими административную ответственность, в частности, за: нарушение порядка планирования закупок; нарушение порядка заключения, исполнения, изменения и расторжения контракта; нарушение порядка формирования, размещения и выполнения государственного оборонного заказа; нарушение процедуры обязательных торгов, продажи государственного или муниципального имущества и пр.</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случае принятия положения законопроекта вступят в силу с 1 июля 2024 года.</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Ст. помощник межрайпрокурора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    Клюева Л.Б.</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hint="default" w:ascii="Times New Roman" w:hAnsi="Times New Roman" w:cs="Times New Roman"/>
          <w:b/>
          <w:bCs/>
          <w:sz w:val="28"/>
          <w:szCs w:val="28"/>
          <w:lang w:val="ru-RU"/>
        </w:rPr>
        <w:t xml:space="preserve">6 </w:t>
      </w:r>
      <w:r>
        <w:rPr>
          <w:rFonts w:ascii="Times New Roman" w:hAnsi="Times New Roman" w:cs="Times New Roman"/>
          <w:b/>
          <w:bCs/>
          <w:sz w:val="28"/>
          <w:szCs w:val="28"/>
        </w:rPr>
        <w:t>Скорректирован механизм приватизации государственного и муниципального имущества</w:t>
      </w:r>
    </w:p>
    <w:p>
      <w:pPr>
        <w:spacing w:after="0" w:line="240" w:lineRule="auto"/>
        <w:ind w:firstLine="708"/>
        <w:jc w:val="both"/>
        <w:rPr>
          <w:rFonts w:ascii="Times New Roman" w:hAnsi="Times New Roman" w:cs="Times New Roman"/>
          <w:sz w:val="28"/>
          <w:szCs w:val="28"/>
        </w:rPr>
      </w:pP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Подписанным законом, в частности:</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 двух лет до одного года сокращен минимальный обязательный срок нахождения недвижимости в аренде у субъекта МСП для реализации преимущественного права на приобретение этого имущества в собственность;</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взамен продажи государственного или муниципального имущества без объявления цены вводится новый способ его приватизации - по минимально допустимой цене.</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Так, приватизация публичного имущества по минимально допустимой цене осуществляется, если продажа этого имущества посредством публичного предложения не состоялась. При продаже по минимально допустимой цене минимальная цена государственного или муниципального имущества устанавливается в размере 5% от цены первоначального предложения. Если цена первоначального предложения больше 20 миллионов рублей, то минимальная цена публичного имущества устанавливается в размере 10% от такой цены первоначального предложения.</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Предусмотрен штраф за уклонение или отказ покупателя либо лица, признанного единственным участником продажи по минимально допустимой цене, от заключения договора купли-продажи государственного или муниципального имущества.</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Федеральный закон вступает в силу со дня его официального опубликования, за исключением положений о продаже государственного или муниципального имущества по минимально допустимой цене, которые вступают в силу с 1 июля 2024 года.</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Ст. помощник межрайпрокурора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    Машошина Л.А.</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hint="default" w:ascii="Times New Roman" w:hAnsi="Times New Roman" w:cs="Times New Roman"/>
          <w:b/>
          <w:bCs/>
          <w:sz w:val="28"/>
          <w:szCs w:val="28"/>
          <w:lang w:val="ru-RU"/>
        </w:rPr>
        <w:t xml:space="preserve">7 </w:t>
      </w:r>
      <w:r>
        <w:rPr>
          <w:rFonts w:ascii="Times New Roman" w:hAnsi="Times New Roman" w:cs="Times New Roman"/>
          <w:b/>
          <w:bCs/>
          <w:sz w:val="28"/>
          <w:szCs w:val="28"/>
        </w:rPr>
        <w:t>В Конституционном Суде РФ рассмотрен вопрос, касающийся очередности удовлетворения требований об уплате имущественных налогов, связанных с предметом залога, и требований залоговых кредиторов</w:t>
      </w:r>
    </w:p>
    <w:p>
      <w:pPr>
        <w:spacing w:after="0" w:line="240" w:lineRule="auto"/>
        <w:ind w:firstLine="709"/>
        <w:jc w:val="both"/>
        <w:rPr>
          <w:rFonts w:ascii="Times New Roman" w:hAnsi="Times New Roman" w:cs="Times New Roman"/>
          <w:sz w:val="28"/>
          <w:szCs w:val="28"/>
        </w:rPr>
      </w:pP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Поводом к рассмотрению дела явилась обнаружившаяся неопределенность в вопросе о том, соответствует ли Конституции РФ положение пункта 6 статьи 138 Федерального закона "О несостоятельности (банкротстве)", определяющее порядок удовлетворения требований кредиторов по обязательствам, обеспеченным залогом имущества должника.</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мнению заявителей, оспариваемое положение допускает возможность удовлетворения требований по текущим налоговым платежам, связанным с предметом залога, до начала расчетов с залоговыми кредиторами.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КС РФ признал оспариваемое положение, устанавливающее указанный выше порядок, не противоречащим Конституции.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определено, что в случае, если удовлетворение требований по налоговым платежам до начала расчетов с залоговым кредитором в обстоятельствах конкретного дела фактически приводит к утрате для залогового кредитора экономического смысла залога и при этом не установлено, что именно поведение залогового кредитора создало условия для формирования такого объема налоговой задолженности, который порождает соответствующие негативные последствия, арбитражный суд вправе соразмерно распределить средства, полученные от использования или реализации предмета залога, между требованиями об уплате имущественных налогов и требованиями залогового кредитора.</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Помощник межрайпрокурора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         Савенко О.О.</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hint="default" w:ascii="Times New Roman" w:hAnsi="Times New Roman" w:cs="Times New Roman"/>
          <w:b/>
          <w:bCs/>
          <w:sz w:val="28"/>
          <w:szCs w:val="28"/>
          <w:lang w:val="ru-RU"/>
        </w:rPr>
        <w:t xml:space="preserve">8 </w:t>
      </w:r>
      <w:r>
        <w:rPr>
          <w:rFonts w:ascii="Times New Roman" w:hAnsi="Times New Roman" w:cs="Times New Roman"/>
          <w:b/>
          <w:bCs/>
          <w:sz w:val="28"/>
          <w:szCs w:val="28"/>
        </w:rPr>
        <w:t>Операторам связи предоставлена возможность размещать сети связи в помещениях общего пользования многоквартирного дома без решения общего собрания собственников помещений</w:t>
      </w:r>
    </w:p>
    <w:p>
      <w:pPr>
        <w:spacing w:after="0" w:line="240" w:lineRule="auto"/>
        <w:ind w:firstLine="709"/>
        <w:jc w:val="both"/>
        <w:rPr>
          <w:rFonts w:ascii="Times New Roman" w:hAnsi="Times New Roman" w:cs="Times New Roman"/>
          <w:sz w:val="28"/>
          <w:szCs w:val="28"/>
        </w:rPr>
      </w:pP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Установлено, что монтаж, эксплуатация и демонтаж сетей связи на объектах общего имущества в многоквартирном доме, необходимых для оказания услуг связи абоненту-гражданину, являющемуся собственником помещения в многоквартирном доме или нанимателем жилого помещения в многоквартирном доме по договору социального найма и заключившему договор об оказании услуг связи, осуществляются без решения общего собрания собственников помещений в этом доме в соответствии с правилами взаимодействия, утвержденными Правительством РФ.</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Плата за пользование объектами общего имущества в многоквартирном доме для оказания услуг связи в многоквартирном доме, за доступ к объектам общего имущества в многоквартирном доме для монтажа, эксплуатации и демонтажа сетей связи (за исключением радиоэлектронных средств подвижной радиотелефонной связи), за доступ к указанным сетям связи либо за оказание иных услуг, связанных с монтажом, эксплуатацией и демонтажом сетей связи на объектах общего имущества в многоквартирном доме, не взимается.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если монтаж, эксплуатация и демонтаж сетей связи на объектах общего имущества в многоквартирном доме повлекли нарушение требований пожарной безопасности, требований законодательства о градостроительной деятельности, санитарных норм и правил, оператор связи несет ответственность, предусмотренную законодательством РФ. Вред, причиненный оператором связи общему имуществу в многоквартирном доме в результате монтажа, эксплуатации и демонтажа сетей связи, подлежит возмещению в полном объеме оператором связи, причинившим такой вред.</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Помощник межрайпрокурора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     Коваленко А.А.</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hint="default" w:ascii="Times New Roman" w:hAnsi="Times New Roman" w:cs="Times New Roman"/>
          <w:b/>
          <w:bCs/>
          <w:sz w:val="28"/>
          <w:szCs w:val="28"/>
          <w:lang w:val="ru-RU"/>
        </w:rPr>
        <w:t xml:space="preserve">9 </w:t>
      </w:r>
      <w:r>
        <w:rPr>
          <w:rFonts w:ascii="Times New Roman" w:hAnsi="Times New Roman" w:cs="Times New Roman"/>
          <w:b/>
          <w:bCs/>
          <w:sz w:val="28"/>
          <w:szCs w:val="28"/>
        </w:rPr>
        <w:t>Установлен запрет на увольнение вдовы ветерана боевых действий в течение года после его смерти (гибели)</w:t>
      </w:r>
    </w:p>
    <w:p>
      <w:pPr>
        <w:spacing w:after="0" w:line="240" w:lineRule="auto"/>
        <w:jc w:val="both"/>
        <w:rPr>
          <w:rFonts w:ascii="Times New Roman" w:hAnsi="Times New Roman" w:cs="Times New Roman"/>
          <w:sz w:val="28"/>
          <w:szCs w:val="28"/>
        </w:rPr>
      </w:pP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ТК РФ дополнен новой статьей 264.1 "Гарантии супруге (супругу) погибшего (умершего) ветерана боевых действий", положениями которой устанавливается, что расторгать трудовой договор с супругой (супругом) погибшего (умершего) ветерана боевых действий, не вступившей (не вступившим) в повторный брак, по инициативе работодателя не допускается в течение одного года с момента гибели (смерти) ветерана боевых действий.</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Предусмотрен ряд исключений, при которых допускается увольнение указанного сотрудника по инициативе работодателя. Работника смогут уволить, в частности, в случае ликвидации организации, грубого нарушения трудовых обязанностей, представления подложных документов при заключении трудового договора, а также по некоторым иным основаниям.</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вступает в силу со дня его официального опубликования.</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Помощник межрайпрокурора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     Сергеева Н.В.</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hint="default" w:ascii="Times New Roman" w:hAnsi="Times New Roman" w:cs="Times New Roman"/>
          <w:b/>
          <w:bCs/>
          <w:sz w:val="28"/>
          <w:szCs w:val="28"/>
          <w:lang w:val="ru-RU"/>
        </w:rPr>
        <w:t xml:space="preserve">10 </w:t>
      </w:r>
      <w:r>
        <w:rPr>
          <w:rFonts w:ascii="Times New Roman" w:hAnsi="Times New Roman" w:cs="Times New Roman"/>
          <w:b/>
          <w:bCs/>
          <w:sz w:val="28"/>
          <w:szCs w:val="28"/>
        </w:rPr>
        <w:t>В Трудовом кодексе уточнили порядок оплаты сверхурочной работы</w:t>
      </w:r>
    </w:p>
    <w:p>
      <w:pPr>
        <w:spacing w:after="0" w:line="240" w:lineRule="auto"/>
        <w:ind w:firstLine="709"/>
        <w:jc w:val="both"/>
        <w:rPr>
          <w:rFonts w:ascii="Times New Roman" w:hAnsi="Times New Roman" w:cs="Times New Roman"/>
          <w:sz w:val="28"/>
          <w:szCs w:val="28"/>
        </w:rPr>
      </w:pP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Сверхурочная работа должна будет оплачиваться исходя из зарплаты с учетом компенсационных и стимулирующих выплат.</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Сохранены минимальные размеры оплаты переработанных часов (за первые 2 часа работы не менее чем в полуторном размере, за последующие часы - не менее чем в двойном размере), а также возможность заменить повышенную оплату на дополнительное время отдыха.</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локальным нормативным актом или трудовым договором предусматривается оплата сверхурочной работы в более высоком размере, положения настоящего закона не являются основанием для пересмотра работодателем ранее установленных условий.</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Предполагается, что закон вступит в силу 1 сентября 2024 года.</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Помощник межрайпрокурора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         Савенко О.О.</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hint="default" w:ascii="Times New Roman" w:hAnsi="Times New Roman" w:cs="Times New Roman"/>
          <w:b/>
          <w:bCs/>
          <w:sz w:val="28"/>
          <w:szCs w:val="28"/>
          <w:lang w:val="ru-RU"/>
        </w:rPr>
        <w:t xml:space="preserve">11 </w:t>
      </w:r>
      <w:r>
        <w:rPr>
          <w:rFonts w:ascii="Times New Roman" w:hAnsi="Times New Roman" w:cs="Times New Roman"/>
          <w:b/>
          <w:bCs/>
          <w:sz w:val="28"/>
          <w:szCs w:val="28"/>
        </w:rPr>
        <w:t xml:space="preserve">Скорректирован порядок сохранения предметов (образцов), являющихся вещественными доказательствами по двум или более уголовным делам, </w:t>
      </w:r>
    </w:p>
    <w:p>
      <w:pPr>
        <w:spacing w:after="0" w:line="240" w:lineRule="auto"/>
        <w:ind w:firstLine="709"/>
        <w:jc w:val="both"/>
        <w:rPr>
          <w:rFonts w:ascii="Times New Roman" w:hAnsi="Times New Roman" w:cs="Times New Roman"/>
          <w:sz w:val="28"/>
          <w:szCs w:val="28"/>
        </w:rPr>
      </w:pP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Постановлением Конституционного Суда РФ от 19 июня 2023 года N 33-П статьи 82 и 240 УПК РФ признаны не соответствующими Конституции РФ в той мере, в какой они по смыслу, придаваемому им судебным толкованием в системе действующего правового регулирования, служат основанием для уничтожения предметов (образцов), являющихся вещественными доказательствами по двум или более уголовным делам, после вступления в законную силу приговора суда по одному из этих уголовных дел, притом что по другому (другим) приговор в законную силу не вступил и сохранение данных предметов (образцов) возможно исходя из их свойств.</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этой связи изменениями, внесенными в УПК РФ, установлено, что при вынесении приговора, а также определения или постановления о прекращении уголовного дела предметы, признанные вещественными доказательствами по данному уголовному делу и одновременно признанные вещественными доказательствами по другому уголовному делу (другим уголовным делам), а также образец вещественного доказательства, достаточный для сравнительного исследования, подлежит передаче органу предварительного расследования или суду, в производстве которого находится уголовное дело, по которому не вынесен приговор либо не вынесено определение или постановление о прекращении уголовного дела.</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Закреплена обязанность указывать сведения о таких вещественных доказательствах в справке, прилагаемой к обвинительному заключению (обвинительному акту, обвинительному постановлению), а также в постановлении о направлении уголовного дела в суд для применения принудительных мер медицинского характера.</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Заместитель межрайонного прокурора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Босяков А.В.</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hint="default" w:ascii="Times New Roman" w:hAnsi="Times New Roman" w:cs="Times New Roman"/>
          <w:b/>
          <w:bCs/>
          <w:sz w:val="28"/>
          <w:szCs w:val="28"/>
          <w:lang w:val="ru-RU"/>
        </w:rPr>
        <w:t xml:space="preserve">12 </w:t>
      </w:r>
      <w:r>
        <w:rPr>
          <w:rFonts w:ascii="Times New Roman" w:hAnsi="Times New Roman" w:cs="Times New Roman"/>
          <w:b/>
          <w:bCs/>
          <w:sz w:val="28"/>
          <w:szCs w:val="28"/>
        </w:rPr>
        <w:t>Суд вправе применить меры предварительной защиты конкретного объекта в виде запрета на его снос до окончания рассмотрения административного иска по приданию ему статуса выявленного объекта культурного наследия</w:t>
      </w:r>
    </w:p>
    <w:p>
      <w:pPr>
        <w:spacing w:after="0" w:line="240" w:lineRule="auto"/>
        <w:ind w:firstLine="709"/>
        <w:jc w:val="both"/>
        <w:rPr>
          <w:rFonts w:ascii="Times New Roman" w:hAnsi="Times New Roman" w:cs="Times New Roman"/>
          <w:sz w:val="28"/>
          <w:szCs w:val="28"/>
        </w:rPr>
      </w:pP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 соответствующими Конституции РФ признаны статья 85, часть 4 статьи 87 и статья 211 КАС РФ, поскольку в системе действующего правового регулирования они, устанавливая возможность применения судом, рассматривающим в порядке, предусмотренном главой 21 КАС РФ, административное исковое заявление о признании недействующим правового акта регионального органа охраны объектов культурного наследия об отказе во включении объекта, обладающего признаками объекта культурного наследия, в перечень выявленных объектов культурного наследия, мер предварительной защиты в виде запрета применения оспариваемого акта к административному истцу, необоснованно ограничивают полномочия суда по применению иных мер предварительной защиты по административному иску.</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Впредь до внесения соответствующих изменений в законодательное регулирование:</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 рассмотрении указанного административного искового заявления суд вправе применить меру предварительной защиты по административному иску в виде возложения на собственника (законного владельца) такого объекта или земельного участка, на котором он расположен, - в случае неустановления собственников (законного владельца) соответствующего объекта - обязанности воздержаться от его сноса;</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если собственник (законный владелец) соответствующего объекта, обладающего признаками объекта культурного наследия, или собственник (законный владелец) земельного участка, на котором он расположен (в случае неустановления собственника или законного владельца самого объекта), не является лицом, участвующим в деле, суд при применении данной меры предварительной защиты обязан привлечь собственника или законного владельца к участию в деле в качестве заинтересованного лица в порядке, установленном статьей 47 КАС РФ.</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Заместитель межрайонного прокурора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Прошина И.Е.</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hint="default" w:ascii="Times New Roman" w:hAnsi="Times New Roman" w:cs="Times New Roman"/>
          <w:b/>
          <w:bCs/>
          <w:sz w:val="28"/>
          <w:szCs w:val="28"/>
          <w:lang w:val="ru-RU"/>
        </w:rPr>
        <w:t xml:space="preserve">13 </w:t>
      </w:r>
      <w:r>
        <w:rPr>
          <w:rFonts w:ascii="Times New Roman" w:hAnsi="Times New Roman" w:cs="Times New Roman"/>
          <w:b/>
          <w:bCs/>
          <w:sz w:val="28"/>
          <w:szCs w:val="28"/>
        </w:rPr>
        <w:t>Антикоррупционные обязанности и запреты в связи с оборотом цифровых финансовых активов и цифровой валюты</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sz w:val="28"/>
          <w:szCs w:val="28"/>
        </w:rPr>
        <w:tab/>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Федеральным законом от 31.07.2020 № 259-ФЗ «О цифровых финансовых активах, цифровой валюте и о внесении изменений в отдельные законодательные акты Российской Федерации» (далее – Федеральный закон № 259-ФЗ) определены правила выпуска цифровых финансовых активов, оборота цифровой валюты.</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Одновременно Федеральным законом № 259-ФЗ внесены дополнения в три основных закона в сфере противодействия коррупции. Так, статья 8 Федерального закона от 25.12.2008 № 273-ФЗ «О противодействии коррупции» дополнена частью 10, согласно которой цифровая валюта признается имуществом, следовательно, сведения о ней подлежат отражению в справке о доходах, об имуществе и обязательствах имущественного характера, представляемой определенной категорией чиновников, служащих и руководителей организаций. В предыдущих декларационных компаниях сведения о виртуальной валюте не отражались в справке о доходах, поскольку не были предусмотрены ее формой, о чем разъяснялось в Методических рекомендациях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2018-2020 годах (пункты 58, 59), разработанных Министерством труда и социальной защиты Российской Федерации.</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Также Федеральным законом № 259-ФЗ внесены дополнения в часть 1 статьи 3 Федерального закона от 03.12.2012 № 230-ФЗ «О контроле за соответствием расходов лиц, замещающих государственные должности, и иных лиц их доходам», согласно которым к сделкам с имуществом, по которым следует подтверждать законность расходов, отнесена сделка по приобретению цифровых финансовых активов, цифровой валюты, если сумма по такой сделке превышает общий доход отчитывающегося лица и его супруги (супруга) за три последних года, предшествующих отчетному периоду.</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Дополнения, внесенные в часть 2 статьи 1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возлагают обязанность на отдельных лиц в течение трех месяцев с 01.01.2021 прекратить доверительное управление имуществом, которое предусматривает инвестирование в цифровую валюту и цифровые финансовые активы, выпущенные в информационных системах, организованных в соответствии с иностранным правом.</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Заместитель межрайонного прокурора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Прошина И.Е.</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ind w:left="720"/>
        <w:jc w:val="both"/>
        <w:rPr>
          <w:rFonts w:ascii="Times New Roman" w:hAnsi="Times New Roman" w:cs="Times New Roman"/>
          <w:sz w:val="28"/>
          <w:szCs w:val="28"/>
        </w:rPr>
      </w:pPr>
      <w:r>
        <w:rPr>
          <w:rFonts w:hint="default" w:ascii="Times New Roman" w:hAnsi="Times New Roman" w:cs="Times New Roman"/>
          <w:b/>
          <w:bCs/>
          <w:sz w:val="28"/>
          <w:szCs w:val="28"/>
          <w:lang w:val="ru-RU"/>
        </w:rPr>
        <w:t xml:space="preserve">14 </w:t>
      </w:r>
      <w:r>
        <w:rPr>
          <w:rFonts w:ascii="Times New Roman" w:hAnsi="Times New Roman" w:cs="Times New Roman"/>
          <w:b/>
          <w:bCs/>
          <w:sz w:val="28"/>
          <w:szCs w:val="28"/>
        </w:rPr>
        <w:t>Меры по предупреждению коррупции для юридических лиц</w:t>
      </w:r>
    </w:p>
    <w:p>
      <w:pPr>
        <w:spacing w:after="0" w:line="240" w:lineRule="auto"/>
        <w:jc w:val="both"/>
        <w:rPr>
          <w:rFonts w:ascii="Times New Roman" w:hAnsi="Times New Roman" w:cs="Times New Roman"/>
          <w:sz w:val="28"/>
          <w:szCs w:val="28"/>
        </w:rPr>
      </w:pP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Согласно ст. 3 Федерального закона от 25.12.2008 № 273-ФЗ «О противодействии коррупции» к основным принципам противодействия коррупции отнесено приоритетное применение мер по ее предупреждению.</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Статьей 13.3 Федерального закона установлена обязанность организаций принимать меры по предупреждению коррупции, которая распространяется на все организации (юридические лица) независимо от их форм собственности, организационно-правовой формы и штатной численности, то есть не только на государственные и муниципальные учреждения и предприятия, но и на акционерные общества, общества с ограниченной ответственностью, иные коммерческие и общественные организации.</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Перечень мер по предупреждению коррупции, которые могут приниматься в организации, включает следующее:</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определение подразделений или должностных лиц, ответственных за профилактику коррупционных и иных правонарушений;</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сотрудничество организации с правоохранительными органами;</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разработка и внедрение в практику стандартов и процедур, направленных на обеспечение добросовестной работы организации;</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принятие кодекса этики и служебного поведения работников организации;</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предотвращение и урегулирование конфликта интересов;</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недопущение составления неофициальной отчетности и использования поддельных документов.</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Для формирования единого подхода к обеспечению работы по профилактике и противодействию коррупции в организациях Министерством труда и социальной защиты Российской Федерации разработаны "Методические рекомендации по разработке и принятию организациями мер по предупреждению и противодействию коррупции".</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Помощник межрайпрокурора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Ларина В.С.</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hint="default" w:ascii="Times New Roman" w:hAnsi="Times New Roman" w:cs="Times New Roman"/>
          <w:b/>
          <w:bCs/>
          <w:sz w:val="28"/>
          <w:szCs w:val="28"/>
          <w:lang w:val="ru-RU"/>
        </w:rPr>
        <w:t xml:space="preserve">15 </w:t>
      </w:r>
      <w:r>
        <w:rPr>
          <w:rFonts w:ascii="Times New Roman" w:hAnsi="Times New Roman" w:cs="Times New Roman"/>
          <w:b/>
          <w:bCs/>
          <w:sz w:val="28"/>
          <w:szCs w:val="28"/>
        </w:rPr>
        <w:t>Противодействие коррупции в сфере закупок</w:t>
      </w:r>
    </w:p>
    <w:p>
      <w:pPr>
        <w:spacing w:after="0" w:line="240" w:lineRule="auto"/>
        <w:jc w:val="both"/>
        <w:rPr>
          <w:rFonts w:ascii="Times New Roman" w:hAnsi="Times New Roman" w:cs="Times New Roman"/>
          <w:sz w:val="28"/>
          <w:szCs w:val="28"/>
        </w:rPr>
      </w:pP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силу подпункта 7.1 пункта 1 статьи 31 Федерального закона от 05.04.2013 N 44-ФЗ «О контрактной системе в сфере закупок товаров, работ, услуг для обеспечения государственных и муниципальных нужд»  не допускается участие в государственных (муниципальных) закупках тех юридических лиц, которые в течение двух лет до момента подачи заявки на участие в закупке были привлечены к административной ответственности по </w:t>
      </w:r>
      <w:r>
        <w:fldChar w:fldCharType="begin"/>
      </w:r>
      <w:r>
        <w:instrText xml:space="preserve"> HYPERLINK "consultantplus://offline/ref=3FF4428575CFC3C5CDAC4A0E3E299616389A86DC7B73CC15DCD4CD127EFD12F0C9E912874D9DC74F12EDA0771DE0DDD5AF388BACFD00JBu9N" </w:instrText>
      </w:r>
      <w:r>
        <w:fldChar w:fldCharType="separate"/>
      </w:r>
      <w:r>
        <w:rPr>
          <w:rStyle w:val="4"/>
          <w:rFonts w:ascii="Times New Roman" w:hAnsi="Times New Roman" w:cs="Times New Roman"/>
          <w:color w:val="auto"/>
          <w:sz w:val="28"/>
          <w:szCs w:val="28"/>
          <w:u w:val="none"/>
        </w:rPr>
        <w:t>статье 19.28</w:t>
      </w:r>
      <w:r>
        <w:rPr>
          <w:rStyle w:val="4"/>
          <w:rFonts w:ascii="Times New Roman" w:hAnsi="Times New Roman" w:cs="Times New Roman"/>
          <w:color w:val="auto"/>
          <w:sz w:val="28"/>
          <w:szCs w:val="28"/>
          <w:u w:val="none"/>
        </w:rPr>
        <w:fldChar w:fldCharType="end"/>
      </w:r>
      <w:r>
        <w:rPr>
          <w:rFonts w:ascii="Times New Roman" w:hAnsi="Times New Roman" w:cs="Times New Roman"/>
          <w:sz w:val="28"/>
          <w:szCs w:val="28"/>
        </w:rPr>
        <w:t> Кодекса Российской Федерации об административных правонарушениях (незаконное вознаграждение от имени юридического лица).</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Ведение реестра юридических лиц, привлеченных к административной ответственности по статье 19.28. КоАП РФ, осуществляет Генеральная прокуратура Российской Федерации на основании приказа Генерального прокурора Российской Федерации от 28.08.2017 № 590 «О формировании и ведении реестра юридических лиц, привлеченных к административной ответственности по статье 19.28 КоАП РФ».</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реестре содержатся сведения о юридическом лице, в отношении которого возбуждено дело об административном правонарушении, сведения об административном правонарушении, о передаче материалов в суд, принятом судом решении, об обжаловании (опротестовании) решения суда, о вступлении постановления, определения суда в законную силу и об исполнении постановления суда.</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Государственный (муниципальный) контракт, заключенный с такой организацией, подлежит безусловному расторжению заказчиком в одностороннем порядке вне зависимости от стадии исполнения.</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Ст. помощник межрайпрокурора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    Машошина Л.А.</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b/>
          <w:bCs/>
          <w:sz w:val="28"/>
          <w:szCs w:val="28"/>
        </w:rPr>
      </w:pPr>
      <w:r>
        <w:rPr>
          <w:rFonts w:hint="default" w:ascii="Times New Roman" w:hAnsi="Times New Roman" w:cs="Times New Roman"/>
          <w:b/>
          <w:bCs/>
          <w:sz w:val="28"/>
          <w:szCs w:val="28"/>
          <w:lang w:val="ru-RU"/>
        </w:rPr>
        <w:t xml:space="preserve">16 </w:t>
      </w:r>
      <w:r>
        <w:rPr>
          <w:rFonts w:ascii="Times New Roman" w:hAnsi="Times New Roman" w:cs="Times New Roman"/>
          <w:b/>
          <w:bCs/>
          <w:sz w:val="28"/>
          <w:szCs w:val="28"/>
        </w:rPr>
        <w:t>Коррупционные проявления, за которые могут уволить государственного и муниципального служащего в связи с утратой доверия</w:t>
      </w:r>
    </w:p>
    <w:p>
      <w:pPr>
        <w:spacing w:after="0" w:line="240" w:lineRule="auto"/>
        <w:jc w:val="both"/>
        <w:rPr>
          <w:rFonts w:ascii="Times New Roman" w:hAnsi="Times New Roman" w:cs="Times New Roman"/>
          <w:sz w:val="28"/>
          <w:szCs w:val="28"/>
        </w:rPr>
      </w:pPr>
    </w:p>
    <w:p>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Лицо, замещающее государственную или муниципальную должность, может быть уволено (освобождено от должности) в связи с утратой доверия в случаях, предусмотренных статьей 13.1 Федерального закона от 25.12.2008 № 273-ФЗ «О противодействии коррупции».</w:t>
      </w:r>
    </w:p>
    <w:p>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Законом определен исчерпывающий перечень оснований к увольнению в связи с утратой доверия:</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непринятие мер по предотвращению и (или) урегулированию конфликта интересов, стороной которого оно является;</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непредставление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участие на платной основе в деятельности органа управления коммерческой организации, за исключением случаев, установленных федеральным законом;</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осуществление в предпринимательской деятельности;</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вхождение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РФ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Помощник межрайпрокурора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         Дуденко А.В.</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b/>
          <w:bCs/>
          <w:sz w:val="28"/>
          <w:szCs w:val="28"/>
        </w:rPr>
      </w:pPr>
      <w:r>
        <w:rPr>
          <w:rFonts w:hint="default" w:ascii="Times New Roman" w:hAnsi="Times New Roman" w:cs="Times New Roman"/>
          <w:b/>
          <w:bCs/>
          <w:sz w:val="28"/>
          <w:szCs w:val="28"/>
          <w:lang w:val="ru-RU"/>
        </w:rPr>
        <w:t xml:space="preserve">17 </w:t>
      </w:r>
      <w:r>
        <w:rPr>
          <w:rFonts w:ascii="Times New Roman" w:hAnsi="Times New Roman" w:cs="Times New Roman"/>
          <w:b/>
          <w:bCs/>
          <w:sz w:val="28"/>
          <w:szCs w:val="28"/>
        </w:rPr>
        <w:t>Вопрос отдельных аспектов регулирования порядка применения взысканий за коррупционные правонарушения</w:t>
      </w:r>
    </w:p>
    <w:p>
      <w:pPr>
        <w:spacing w:after="0" w:line="240" w:lineRule="auto"/>
        <w:jc w:val="both"/>
        <w:rPr>
          <w:rFonts w:ascii="Times New Roman" w:hAnsi="Times New Roman" w:cs="Times New Roman"/>
          <w:sz w:val="28"/>
          <w:szCs w:val="28"/>
        </w:rPr>
      </w:pP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Действующими нормативными правовыми актами Российской Федерации требование об обязательном направлении доклада о результатах антикоррупционной проверки в комиссию по соблюдению требований к служебному поведению государственных гражданских служащих и урегулированию конфликта интересов не установлено. </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Положением, утвержденным Указом Президента Российской Федерации от 21 сентября 2009 г. № 1065, по результатам проведенной проверки предусмотрен доклад, подготовка которого осуществляется органом субъекта Российской Федерации по профилактике коррупционных и иных правонарушений (должностным лицом, ответственным за антикоррупционную работу в исполнительном органе государственной власти субъекта). </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Антикоррупционный орган или должностное лицо самостоятельно и суметом имеющихся (установленных проверкой) обстоятельств уполномочен предложить соответствующему должностному лицу решение, предусмотренное частью 28 названного Положения. </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Согласно требованиям части 1 статьи 59.3 Федерального закона «О государственной гражданской службе в Российской Федерации» согласие гражданского служащего необходимо при применении к нему взыскания за коррупционное правонарушение только при условии признания им факта совершения указанного нарушения, за исключением увольнения в связи с утратой доверия.</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Помощник межрайпрокурора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     Коваленко А.А.</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b/>
          <w:bCs/>
          <w:sz w:val="28"/>
          <w:szCs w:val="28"/>
        </w:rPr>
      </w:pPr>
      <w:r>
        <w:rPr>
          <w:rFonts w:hint="default" w:ascii="Times New Roman" w:hAnsi="Times New Roman" w:cs="Times New Roman"/>
          <w:b/>
          <w:bCs/>
          <w:sz w:val="28"/>
          <w:szCs w:val="28"/>
          <w:lang w:val="ru-RU"/>
        </w:rPr>
        <w:t xml:space="preserve">18 </w:t>
      </w:r>
      <w:r>
        <w:rPr>
          <w:rFonts w:ascii="Times New Roman" w:hAnsi="Times New Roman" w:cs="Times New Roman"/>
          <w:b/>
          <w:bCs/>
          <w:sz w:val="28"/>
          <w:szCs w:val="28"/>
        </w:rPr>
        <w:t>Вопрос правового регулирования отдельных аспектов организации антикоррупционной работы в органах местного самоуправления</w:t>
      </w:r>
    </w:p>
    <w:p>
      <w:pPr>
        <w:spacing w:after="0" w:line="240" w:lineRule="auto"/>
        <w:jc w:val="both"/>
        <w:rPr>
          <w:rFonts w:ascii="Times New Roman" w:hAnsi="Times New Roman" w:cs="Times New Roman"/>
          <w:sz w:val="28"/>
          <w:szCs w:val="28"/>
        </w:rPr>
      </w:pP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частью 4.1. статьи 12.1. Федерального закона «О противодействии коррупции» лица, замещающие муниципальные должности (к категории которых относится глава муниципального образования), обязаны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 </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Частью 2 статьи 11 названного федерального закона предусмотрено, что лицо, замещающее должность, замещение которой предусматривает обязанность принимать меры по предотвращению и урегулированию конфликта интересов,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 </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Вместе с тем, в силу особенностей статуса и процедуры наделения полномочиями лиц, замещающих должности глав муниципальных образований полагаем, что определять порядок уведомления о возникшем конфликте интересов или о возможности его возникновения, а также регулировать иные вопросы, по которым для указанных лиц антикоррупционным законодательством установлены ограничения или запреты, представляется допустимым представительному органу муниципального образования, которому в соответствии с частью 5 статьи 36 Федерального закона «Об общих принципах организации местного самоуправления в Российской Федерации» глава такого административнотерриториального образования подконтролен и подотчетен. </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правовое регулирование порядка принятия мер по предотвращению и урегулированию конфликта интересов лицами, указанной категории, до его установления нормативными правовыми актами Российской Федерации, возможно осуществлять в соответствии с законами субъекта Российской Федерации или муниципальными правовыми актами. </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Подход, при котором лица, замещающие должности глав муниципальных образований, уведомляют о возникшем конфликте интересов или о возможности его возникновения представительный орган муниципального образования или комиссию представительного органа муниципального образования, созданную для рассмотрения подобных ситуаций, представляется оптимальным.</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Ст. помощник межрайпрокурора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    Боров З.Р.</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hint="default" w:ascii="Times New Roman" w:hAnsi="Times New Roman" w:cs="Times New Roman"/>
          <w:b/>
          <w:bCs/>
          <w:sz w:val="28"/>
          <w:szCs w:val="28"/>
          <w:lang w:val="ru-RU"/>
        </w:rPr>
        <w:t xml:space="preserve">19 </w:t>
      </w:r>
      <w:r>
        <w:rPr>
          <w:rFonts w:ascii="Times New Roman" w:hAnsi="Times New Roman" w:cs="Times New Roman"/>
          <w:b/>
          <w:bCs/>
          <w:sz w:val="28"/>
          <w:szCs w:val="28"/>
        </w:rPr>
        <w:t>Ответственность за возбуждение ненависти либо вражды, а равно унижение человеческого достоинства</w:t>
      </w:r>
    </w:p>
    <w:p>
      <w:pPr>
        <w:spacing w:after="0" w:line="240" w:lineRule="auto"/>
        <w:jc w:val="both"/>
        <w:rPr>
          <w:rFonts w:ascii="Times New Roman" w:hAnsi="Times New Roman" w:cs="Times New Roman"/>
          <w:sz w:val="28"/>
          <w:szCs w:val="28"/>
        </w:rPr>
      </w:pP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Статьей 20.3.1 Кодекса Российской Федерации об административных правонарушениях установлена ответственность за совершение действий, направленных на возбуждение ненависти либо вражды, а также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в том числе с использованием средств массовой информации либо информационно-телекоммуникационных сетей, включая сеть «Интернет».</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 совершение данного правонарушения может быть назначено наказание: в виде штрафа на граждан в размере от 10 000 руб. до 20 000 руб., обязательные работы на срок до 100 часов, административный арест на срок до 15 суток; на юридических лиц штраф в размере от 250 000 руб. до 500 000 руб.</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Совершение лицом повторного правонарушения в течение 1 года после его привлечения к административной ответственности влечет привлечение к уголовной ответственности по ст. 282 УК РФ, предусматривающей более строгое наказание, в том числе и лишение свободы на срок от 2 до 5 лет.</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Ст. помощник межрайпрокурора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    Клюева Л.Б.</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hint="default" w:ascii="Times New Roman" w:hAnsi="Times New Roman" w:cs="Times New Roman"/>
          <w:b/>
          <w:bCs/>
          <w:sz w:val="28"/>
          <w:szCs w:val="28"/>
          <w:lang w:val="ru-RU"/>
        </w:rPr>
        <w:t xml:space="preserve">20 </w:t>
      </w:r>
      <w:r>
        <w:rPr>
          <w:rFonts w:ascii="Times New Roman" w:hAnsi="Times New Roman" w:cs="Times New Roman"/>
          <w:b/>
          <w:bCs/>
          <w:sz w:val="28"/>
          <w:szCs w:val="28"/>
        </w:rPr>
        <w:t>Антитеррористическая защищенность объектов спорта</w:t>
      </w:r>
    </w:p>
    <w:p>
      <w:pPr>
        <w:spacing w:after="0" w:line="240" w:lineRule="auto"/>
        <w:ind w:firstLine="360"/>
        <w:jc w:val="both"/>
        <w:rPr>
          <w:rFonts w:ascii="Times New Roman" w:hAnsi="Times New Roman" w:cs="Times New Roman"/>
          <w:sz w:val="28"/>
          <w:szCs w:val="28"/>
        </w:rPr>
      </w:pPr>
    </w:p>
    <w:p>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Постановлением Правительства РФ от 28.01.2019 № 52 «Об утверждении требований к антитеррористической защищенности объектов (территорий) Министерства спорта Российской Федерации и подведомственных ему организаций, а также формы паспорта безопасности объектов (территорий) Министерства спорта Российской Федерации и подведомственных ему организаций» установлены требования, обязательные для выполнения организационные, инженерно-технические и иные мероприятия по обеспечению антитеррористической защищенности комплексов технологически и технически связанных между собой зданий, строений, сооружений и систем, отдельных зданий, строений и сооружений, прилегающих к ним территорий, не являющихся объектами спорта, правообладателями которых являются Минспорта России и подведомственные ему организации.</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Указанные требования не распространяются: на объекты (территории), подлежащие обязательной охране Росгвардией; на важные государственные объекты, специальные грузы, сооружения на коммуникациях, подлежащие охране Росгвардией, в части их оборудования инженерно-техническими средствами охраны, порядка контроля за оборудованием и эксплуатацией указанных инженерно-технических средств охраны; на объекты (территории), требования к антитеррористической защищенности которых утверждены иными актами Правительства РФ.</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Для установления дифференцированных требований к антитеррористической защищенности осуществляется категорирование таких объектов (территорий). Отнесение к определенной категории осуществляется с учетом степени угрозы совершения теракта, а также на основании прогнозных показателей о количестве людей, которые могут пострадать и возможном материальном ущербе и ущербе окружающей природной среде в результате совершения террористического акта. Также утверждена форма паспорта безопасности таких объектов (территорий).</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Помощник межрайпрокурора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     Коваленко А.А.</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hint="default" w:ascii="Times New Roman" w:hAnsi="Times New Roman" w:cs="Times New Roman"/>
          <w:b/>
          <w:bCs/>
          <w:sz w:val="28"/>
          <w:szCs w:val="28"/>
          <w:lang w:val="ru-RU"/>
        </w:rPr>
        <w:t xml:space="preserve">21 </w:t>
      </w:r>
      <w:r>
        <w:rPr>
          <w:rFonts w:ascii="Times New Roman" w:hAnsi="Times New Roman" w:cs="Times New Roman"/>
          <w:b/>
          <w:bCs/>
          <w:sz w:val="28"/>
          <w:szCs w:val="28"/>
        </w:rPr>
        <w:t>Ответственность за распространение экстремистских материалов</w:t>
      </w:r>
    </w:p>
    <w:p>
      <w:pPr>
        <w:spacing w:after="0" w:line="240" w:lineRule="auto"/>
        <w:ind w:firstLine="360"/>
        <w:jc w:val="both"/>
        <w:rPr>
          <w:rFonts w:ascii="Times New Roman" w:hAnsi="Times New Roman" w:cs="Times New Roman"/>
          <w:sz w:val="28"/>
          <w:szCs w:val="28"/>
        </w:rPr>
      </w:pPr>
    </w:p>
    <w:p>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В силу федерального законодательства экстремистскими материалами являются предназначенные для обнародования документы либо информация на иных носителях (в том числе в сети «Интернет»), призывающие к осуществлению экстремистской деятельности либо обосновывающие или оправдывающие необходимость осуществления такой деятельности,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Действующим законодательством предусмотрена административная ответственность за массовое распространение признанных запрещенными экстремистских материалов; за пропаганду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Уголовная ответственность предусмотрена за публичные призывы к осуществлению экстремистской деятельности; возбуждение ненависти либо вражды, а равно унижение человеческого достоинства; организацию экстремистского сообщества и т.д.</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Помощник межрайпрокурора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     Сергеева Н.В.</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hint="default" w:ascii="Times New Roman" w:hAnsi="Times New Roman" w:cs="Times New Roman"/>
          <w:b/>
          <w:bCs/>
          <w:sz w:val="28"/>
          <w:szCs w:val="28"/>
          <w:lang w:val="ru-RU"/>
        </w:rPr>
        <w:t xml:space="preserve">22 </w:t>
      </w:r>
      <w:r>
        <w:rPr>
          <w:rFonts w:ascii="Times New Roman" w:hAnsi="Times New Roman" w:cs="Times New Roman"/>
          <w:b/>
          <w:bCs/>
          <w:sz w:val="28"/>
          <w:szCs w:val="28"/>
        </w:rPr>
        <w:t>Выделение уголовного дела в отношении несовершеннолетнего в отдельное производство</w:t>
      </w:r>
    </w:p>
    <w:p>
      <w:pPr>
        <w:spacing w:after="0" w:line="240" w:lineRule="auto"/>
        <w:jc w:val="both"/>
        <w:rPr>
          <w:rFonts w:ascii="Times New Roman" w:hAnsi="Times New Roman" w:cs="Times New Roman"/>
          <w:sz w:val="28"/>
          <w:szCs w:val="28"/>
        </w:rPr>
      </w:pP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целях уменьшения опасности влияния взрослых соучастников преступления на поведение несовершеннолетнего в ходе производства по делу о преступлении, совершенном при участии несовершеннолетнего, законодатель предусматривает возможность выделения уголовного дела в отношении несовершеннолетнего, участвовавшего в совершении преступления вместе со взрослым. </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Согласно ст. 422 УПК РФ уголовное дело в отношении несовершеннолетнего соучастника выделяется в отдельное производство в порядке, установленном ст. 154 УПК РФ, исходя из которой выделение уголовного дела производится на основании постановления следователя или дознавателя. </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Анализ приведенных норм УПК РФ не содержит прямого указания на необходимость вынесения органами предварительного расследования постановления о невозможности выделения в отдельное производство дела в отношении несовершеннолетнего обвиняемого, привлеченного к уголовной ответственности по одному делу с совершеннолетним. </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Если выделение дела в отношении несовершеннолетнего в отдельное производство невозможно, то к несовершеннолетнему обвиняемому применяются правила уголовного судопроизводства, установленные в гл. 50 УПК РФ.</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Ст. помощник межрайпрокурора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    Боров З.Р.</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hint="default" w:ascii="Times New Roman" w:hAnsi="Times New Roman" w:cs="Times New Roman"/>
          <w:b/>
          <w:bCs/>
          <w:sz w:val="28"/>
          <w:szCs w:val="28"/>
          <w:lang w:val="ru-RU"/>
        </w:rPr>
        <w:t xml:space="preserve">23 </w:t>
      </w:r>
      <w:r>
        <w:rPr>
          <w:rFonts w:ascii="Times New Roman" w:hAnsi="Times New Roman" w:cs="Times New Roman"/>
          <w:b/>
          <w:bCs/>
          <w:sz w:val="28"/>
          <w:szCs w:val="28"/>
        </w:rPr>
        <w:t>Избрание меры пресечения в отношении несовершеннолетнего</w:t>
      </w:r>
    </w:p>
    <w:p>
      <w:pPr>
        <w:spacing w:after="0" w:line="240" w:lineRule="auto"/>
        <w:jc w:val="both"/>
        <w:rPr>
          <w:rFonts w:ascii="Times New Roman" w:hAnsi="Times New Roman" w:cs="Times New Roman"/>
          <w:sz w:val="28"/>
          <w:szCs w:val="28"/>
        </w:rPr>
      </w:pP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отношении несовершеннолетнего </w:t>
      </w:r>
      <w:r>
        <w:fldChar w:fldCharType="begin"/>
      </w:r>
      <w:r>
        <w:instrText xml:space="preserve"> HYPERLINK "http://crimlib.info/%D0%9F%D0%BE%D0%B4%D0%BE%D0%B7%D1%80%D0%B5%D0%B2%D0%B0%D0%B5%D0%BC%D1%8B%D0%B9" </w:instrText>
      </w:r>
      <w:r>
        <w:fldChar w:fldCharType="separate"/>
      </w:r>
      <w:r>
        <w:rPr>
          <w:rStyle w:val="4"/>
          <w:rFonts w:ascii="Times New Roman" w:hAnsi="Times New Roman" w:cs="Times New Roman"/>
          <w:color w:val="auto"/>
          <w:sz w:val="28"/>
          <w:szCs w:val="28"/>
          <w:u w:val="none"/>
        </w:rPr>
        <w:t>подозреваемого</w:t>
      </w:r>
      <w:r>
        <w:rPr>
          <w:rStyle w:val="4"/>
          <w:rFonts w:ascii="Times New Roman" w:hAnsi="Times New Roman" w:cs="Times New Roman"/>
          <w:color w:val="auto"/>
          <w:sz w:val="28"/>
          <w:szCs w:val="28"/>
          <w:u w:val="none"/>
        </w:rPr>
        <w:fldChar w:fldCharType="end"/>
      </w:r>
      <w:r>
        <w:rPr>
          <w:rFonts w:ascii="Times New Roman" w:hAnsi="Times New Roman" w:cs="Times New Roman"/>
          <w:sz w:val="28"/>
          <w:szCs w:val="28"/>
        </w:rPr>
        <w:t>, </w:t>
      </w:r>
      <w:r>
        <w:fldChar w:fldCharType="begin"/>
      </w:r>
      <w:r>
        <w:instrText xml:space="preserve"> HYPERLINK "http://crimlib.info/%D0%9E%D0%B1%D0%B2%D0%B8%D0%BD%D1%8F%D0%B5%D0%BC%D1%8B%D0%B9" </w:instrText>
      </w:r>
      <w:r>
        <w:fldChar w:fldCharType="separate"/>
      </w:r>
      <w:r>
        <w:rPr>
          <w:rStyle w:val="4"/>
          <w:rFonts w:ascii="Times New Roman" w:hAnsi="Times New Roman" w:cs="Times New Roman"/>
          <w:color w:val="auto"/>
          <w:sz w:val="28"/>
          <w:szCs w:val="28"/>
          <w:u w:val="none"/>
        </w:rPr>
        <w:t>обвиняемого</w:t>
      </w:r>
      <w:r>
        <w:rPr>
          <w:rStyle w:val="4"/>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при наличии оснований и в порядке, установленных УПК РФ, может быть избрана мера пресечения. </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силу ч. 2 ст. 108 УПК РФ заключение под стражу может быть применено лишь в случаях, если несовершеннолетний подозревается, обвиняется в совершении тяжкого или особо тяжкого преступления. В исключительных случаях, как единственно возможное в данных случаях, заключение под стражу может быть избрано в отношении несовершеннолетнего, совершившего преступление средней тяжести. </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Пленум Верховного Суда РФ обращает внимание правоприменителей на то, что при решении вопроса о применении этой самой строгой меры пресечения необходимо тщательно проверять обоснованность мотивов о необходимости заключения несовершеннолетнего под стражу и невозможности избрания иной более мягкой меры пресечения. </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первую очередь должна обсуждаться возможность отдачи несовершеннолетнего под присмотр в соответствии со ст. 105 УПК РФ, как об этом указано в ч. 2 ст. 423 УПК РФ. Несоблюдение этих требований закона влечет за собой признание решения об избрании заключения под стражу в отношении несовершеннолетнего незаконным и необоснованным. </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Также как о задержании, о заключении под стражу или продлении срока содержания под стражей несовершеннолетнего подозреваемого, обвиняемого незамедлительно извещаются его законные представители.</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Ст. помощник межрайпрокурора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    Клюева Л.Б.</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hint="default" w:ascii="Times New Roman" w:hAnsi="Times New Roman" w:cs="Times New Roman"/>
          <w:b/>
          <w:bCs/>
          <w:sz w:val="28"/>
          <w:szCs w:val="28"/>
          <w:lang w:val="ru-RU"/>
        </w:rPr>
        <w:t xml:space="preserve">24 </w:t>
      </w:r>
      <w:r>
        <w:rPr>
          <w:rFonts w:ascii="Times New Roman" w:hAnsi="Times New Roman" w:cs="Times New Roman"/>
          <w:b/>
          <w:bCs/>
          <w:sz w:val="28"/>
          <w:szCs w:val="28"/>
        </w:rPr>
        <w:t>Вызов и допрос несовершеннолетнего подозреваемого, обвиняемого, подсудимого</w:t>
      </w:r>
    </w:p>
    <w:p>
      <w:pPr>
        <w:spacing w:after="0" w:line="240" w:lineRule="auto"/>
        <w:jc w:val="both"/>
        <w:rPr>
          <w:rFonts w:ascii="Times New Roman" w:hAnsi="Times New Roman" w:cs="Times New Roman"/>
          <w:sz w:val="28"/>
          <w:szCs w:val="28"/>
        </w:rPr>
      </w:pP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Вызов несовершеннолетнего подозреваемого, обвиняемого, не находящегося под стражей, к </w:t>
      </w:r>
      <w:r>
        <w:fldChar w:fldCharType="begin"/>
      </w:r>
      <w:r>
        <w:instrText xml:space="preserve"> HYPERLINK "http://crimlib.info/%D0%A1%D0%BB%D0%B5%D0%B4%D0%BE%D0%B2%D0%B0%D1%82%D0%B5%D0%BB%D1%8C" </w:instrText>
      </w:r>
      <w:r>
        <w:fldChar w:fldCharType="separate"/>
      </w:r>
      <w:r>
        <w:rPr>
          <w:rStyle w:val="4"/>
          <w:rFonts w:ascii="Times New Roman" w:hAnsi="Times New Roman" w:cs="Times New Roman"/>
          <w:color w:val="auto"/>
          <w:sz w:val="28"/>
          <w:szCs w:val="28"/>
          <w:u w:val="none"/>
        </w:rPr>
        <w:t>следователю</w:t>
      </w:r>
      <w:r>
        <w:rPr>
          <w:rStyle w:val="4"/>
          <w:rFonts w:ascii="Times New Roman" w:hAnsi="Times New Roman" w:cs="Times New Roman"/>
          <w:color w:val="auto"/>
          <w:sz w:val="28"/>
          <w:szCs w:val="28"/>
          <w:u w:val="none"/>
        </w:rPr>
        <w:fldChar w:fldCharType="end"/>
      </w:r>
      <w:r>
        <w:rPr>
          <w:rFonts w:ascii="Times New Roman" w:hAnsi="Times New Roman" w:cs="Times New Roman"/>
          <w:sz w:val="28"/>
          <w:szCs w:val="28"/>
        </w:rPr>
        <w:t>, </w:t>
      </w:r>
      <w:r>
        <w:fldChar w:fldCharType="begin"/>
      </w:r>
      <w:r>
        <w:instrText xml:space="preserve"> HYPERLINK "http://crimlib.info/%D0%94%D0%BE%D0%B7%D0%BD%D0%B0%D0%B2%D0%B0%D1%82%D0%B5%D0%BB%D1%8C" </w:instrText>
      </w:r>
      <w:r>
        <w:fldChar w:fldCharType="separate"/>
      </w:r>
      <w:r>
        <w:rPr>
          <w:rStyle w:val="4"/>
          <w:rFonts w:ascii="Times New Roman" w:hAnsi="Times New Roman" w:cs="Times New Roman"/>
          <w:color w:val="auto"/>
          <w:sz w:val="28"/>
          <w:szCs w:val="28"/>
          <w:u w:val="none"/>
        </w:rPr>
        <w:t>дознавателю</w:t>
      </w:r>
      <w:r>
        <w:rPr>
          <w:rStyle w:val="4"/>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и в суд производится через его законных представителей, а если лицо содержится в специализированном учреждении для несовершеннолетних — через администрацию этого учреждения. Повестка о вызове несовершеннолетнего подозреваемого, обвиняемого адресуется непосредственно ему лично, но вручается его законным представителям. </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случае неявки несовершеннолетнего подозреваемого, обвиняемого без уважительных причин он может быть доставлен принудительно. Привод лица, не достигшего возраста шестнадцати лет, производится с уведомлением его законных представителей либо администрации по месту его работы или учебы. </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Вызов несовершеннолетнего подозреваемого или обвиняемого, содержащегося под стражей, осуществляется в общем порядке. Однако законодатель установил особенности конвоирования и этапирования лиц, не достигших совершеннолетия.</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Допрос несовершеннолетнего подозреваемого, обвиняемого не может продолжаться без перерыва более 2 часов, а в общей сложности более 4 часов в день. В этом следственном действии обязательно участие </w:t>
      </w:r>
      <w:r>
        <w:fldChar w:fldCharType="begin"/>
      </w:r>
      <w:r>
        <w:instrText xml:space="preserve"> HYPERLINK "http://crimlib.info/%D0%97%D0%B0%D1%89%D0%B8%D1%82%D0%BD%D0%B8%D0%BA" </w:instrText>
      </w:r>
      <w:r>
        <w:fldChar w:fldCharType="separate"/>
      </w:r>
      <w:r>
        <w:rPr>
          <w:rStyle w:val="4"/>
          <w:rFonts w:ascii="Times New Roman" w:hAnsi="Times New Roman" w:cs="Times New Roman"/>
          <w:color w:val="auto"/>
          <w:sz w:val="28"/>
          <w:szCs w:val="28"/>
          <w:u w:val="none"/>
        </w:rPr>
        <w:t>защитника</w:t>
      </w:r>
      <w:r>
        <w:rPr>
          <w:rStyle w:val="4"/>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и законного представителя несовершеннолетнего (ст. 425 и ст. 426 УПК РФ). </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Нарушение указанных положений уголовно-процессуального закона является основанием для признания показаний подозреваемого, обвиняемого, данных в отсутствие защитника или законного представителя, недопустимыми доказательствами. В допросе несовершеннолетнего подозреваемого, обвиняемого, не достигшего 16-летнего возраста, законодатель предусматривает обязательное участие педагога или психолога. Педагог или психолог должен быть обязательно приглашен и в случае, если подозреваемый, обвиняемый хотя и достиг 16 лет, но страдает психическим расстройством или отстает в психическом развитии (ч. 3 ст. 425 УПК РФ).</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Заместитель межрайонного прокурора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Босяков А.В.</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b/>
          <w:bCs/>
          <w:sz w:val="28"/>
          <w:szCs w:val="28"/>
        </w:rPr>
      </w:pPr>
      <w:r>
        <w:rPr>
          <w:rFonts w:hint="default" w:ascii="Times New Roman" w:hAnsi="Times New Roman" w:cs="Times New Roman"/>
          <w:b/>
          <w:bCs/>
          <w:sz w:val="28"/>
          <w:szCs w:val="28"/>
          <w:lang w:val="ru-RU"/>
        </w:rPr>
        <w:t xml:space="preserve">25 </w:t>
      </w:r>
      <w:r>
        <w:rPr>
          <w:rFonts w:ascii="Times New Roman" w:hAnsi="Times New Roman" w:cs="Times New Roman"/>
          <w:b/>
          <w:bCs/>
          <w:sz w:val="28"/>
          <w:szCs w:val="28"/>
        </w:rPr>
        <w:t>Осуществление проверок в случае увольнения отдельных категорий лиц</w:t>
      </w:r>
    </w:p>
    <w:p>
      <w:pPr>
        <w:spacing w:after="0" w:line="240" w:lineRule="auto"/>
        <w:ind w:firstLine="708"/>
        <w:jc w:val="both"/>
        <w:rPr>
          <w:rFonts w:ascii="Times New Roman" w:hAnsi="Times New Roman" w:cs="Times New Roman"/>
          <w:sz w:val="28"/>
          <w:szCs w:val="28"/>
        </w:rPr>
      </w:pP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Положениями Федерального закона от 25.12.2008 № 273-ФЗ «О противодействии коррупции» определено, что в случае, если антикоррупционная проверка не завершена в связи с увольнением проверяемого лица, Генеральный прокурор Российской Федерации или подчиненные ему прокуроры, принимают решение об осуществлении проверки достоверности и полноты представленных указанным проверяемым лицом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w:t>
      </w:r>
    </w:p>
    <w:p>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Генеральный прокурор Российской Федерации или подчиненные ему прокуроры, получившие материалы в отношении проверяемого лица, рассматривают их в пределах своей компетенции и не позднее 4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проверяемого лица.</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Помощник межрайпрокурора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Ларина В.С.</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b/>
          <w:bCs/>
          <w:sz w:val="28"/>
          <w:szCs w:val="28"/>
        </w:rPr>
      </w:pPr>
      <w:r>
        <w:rPr>
          <w:rFonts w:hint="default" w:ascii="Times New Roman" w:hAnsi="Times New Roman" w:cs="Times New Roman"/>
          <w:b/>
          <w:bCs/>
          <w:sz w:val="28"/>
          <w:szCs w:val="28"/>
          <w:lang w:val="ru-RU"/>
        </w:rPr>
        <w:t xml:space="preserve">26 </w:t>
      </w:r>
      <w:bookmarkStart w:id="0" w:name="_GoBack"/>
      <w:bookmarkEnd w:id="0"/>
      <w:r>
        <w:rPr>
          <w:rFonts w:ascii="Times New Roman" w:hAnsi="Times New Roman" w:cs="Times New Roman"/>
          <w:b/>
          <w:bCs/>
          <w:sz w:val="28"/>
          <w:szCs w:val="28"/>
        </w:rPr>
        <w:t>Как установить факт принятия наследства умершим лицом?</w:t>
      </w:r>
    </w:p>
    <w:p>
      <w:pPr>
        <w:spacing w:after="0" w:line="240" w:lineRule="auto"/>
        <w:ind w:firstLine="709"/>
        <w:jc w:val="both"/>
        <w:rPr>
          <w:rFonts w:ascii="Times New Roman" w:hAnsi="Times New Roman" w:cs="Times New Roman"/>
          <w:sz w:val="28"/>
          <w:szCs w:val="28"/>
        </w:rPr>
      </w:pP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общему правилу для приобретения наследства наследник должен его принять в течение шести месяцев со дня открытия наследства.</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Принять наследство можно следующими способами: подать нотариусу заявление (о принятии наследства или о выдаче свидетельства о праве на него) либо совершить действия, свидетельствующие о фактическом принятии наследства (п. 1 ст. 1152, п. п. 1, 2 ст. 1153, п. 1 ст. 1154 ГК РФ).</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Если принявший наследство наследник умер, не получив свидетельство о праве на наследство, принятое им наследственное имущество признается принадлежащим этому лицу и входит в состав наследства после его смерти, например, при наличии в наследственном деле заявления о принятии наследства или доказательств фактического принятия наследства указанным наследником (п. 4 ст. 1152 ГК РФ; п. 9.1 Методических рекомендаций, утв. Решением Правления ФНП от 25.03.2019, протокол N 03/19).</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ряде случаев может потребоваться установление факта принятия наследства наследником, умершим после открытия наследства, в судебном порядке, например если нотариус отказал в выдаче его наследникам свидетельства о праве на наследство (Апелляционное определение Московского городского суда от 08.09.2016 по делу N 33-30448/2016).</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Установление факта принятия наследства умершим лицом осуществляется в порядке искового производства (ч. 3 ст. 263 ГПК РФ).</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Ст. помощник межрайпрокурора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    Машошина Л.А.</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D8B"/>
    <w:rsid w:val="0037506C"/>
    <w:rsid w:val="00620D63"/>
    <w:rsid w:val="006A1D8B"/>
    <w:rsid w:val="00713547"/>
    <w:rsid w:val="009311FD"/>
    <w:rsid w:val="00A34C57"/>
    <w:rsid w:val="00AA757A"/>
    <w:rsid w:val="00B66E0D"/>
    <w:rsid w:val="00C32E91"/>
    <w:rsid w:val="5F9D4AC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uiPriority w:val="99"/>
    <w:rPr>
      <w:color w:val="0563C1" w:themeColor="hyperlink"/>
      <w:u w:val="single"/>
      <w14:textFill>
        <w14:solidFill>
          <w14:schemeClr w14:val="hlink"/>
        </w14:solidFill>
      </w14:textFill>
    </w:rPr>
  </w:style>
  <w:style w:type="character" w:customStyle="1" w:styleId="5">
    <w:name w:val="Unresolved Mention"/>
    <w:basedOn w:val="2"/>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27</Pages>
  <Words>6356</Words>
  <Characters>36235</Characters>
  <Lines>301</Lines>
  <Paragraphs>85</Paragraphs>
  <TotalTime>162</TotalTime>
  <ScaleCrop>false</ScaleCrop>
  <LinksUpToDate>false</LinksUpToDate>
  <CharactersWithSpaces>42506</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2024-04-24T09:27:00Z</dcterms:created>
  <dc:creator>Виталия Зятковская</dc:creator>
  <cp:lastModifiedBy>kostelcevo</cp:lastModifiedBy>
  <dcterms:modified xsi:type="dcterms:W3CDTF">2024-05-27T13:16:19Z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1049-12.2.0.16909</vt:lpwstr>
  </property>
  <property fmtid="{D5CDD505-2E9C-101B-9397-08002B2CF9AE}" pid="3" name="ICV">
    <vt:lpwstr>1AE416664E2942B7B7B32FF29EF6A03B_12</vt:lpwstr>
  </property>
</Properties>
</file>