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18 </w:t>
      </w:r>
      <w:r>
        <w:rPr>
          <w:rFonts w:ascii="Times New Roman" w:hAnsi="Times New Roman" w:cs="Times New Roman"/>
          <w:b/>
          <w:bCs/>
          <w:sz w:val="28"/>
          <w:szCs w:val="28"/>
        </w:rPr>
        <w:t>Вопрос правового регулирования отдельных аспектов организации антикоррупционной работы в органах местного самоуправления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4.1. статьи 12.1. Федерального закона «О противодействии коррупции» лица, замещающие муниципальные должности (к категории которых относится глава муниципального образования),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2 статьи 11 названного федерального закона предусмотрено, что лицо, замещающее должность, замещение которой предусматривает обязанность принимать меры по предотвращению и урегулированию конфликта интересов,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силу особенностей статуса и процедуры наделения полномочиями лиц, замещающих должности глав муниципальных образований полагаем, что определять порядок уведомления о возникшем конфликте интересов или о возможности его возникновения, а также регулировать иные вопросы, по которым для указанных лиц антикоррупционным законодательством установлены ограничения или запреты, представляется допустимым представительному органу муниципального образования, которому в соответствии с частью 5 статьи 36 Федерального закона «Об общих принципах организации местного самоуправления в Российской Федерации» глава такого административнотерриториального образования подконтролен и подотчетен.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правовое регулирование порядка принятия мер по предотвращению и урегулированию конфликта интересов лицами, указанной категории, до его установления нормативными правовыми актами Российской Федерации, возможно осуществлять в соответствии с законами субъекта Российской Федерации или муниципальными правовыми актами.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Подход, при котором лица, замещающие должности глав муниципальных образований, уведомляют о возникшем конфликте интересов или о возможности его возникновения представительный орган муниципального образования или комиссию представительного органа муниципального образования, созданную для рассмотрения подобных ситуаций, представляется оптимальным.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Боров З.Р.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287A085D"/>
    <w:rsid w:val="5F9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2024-05-27T13:33:47Z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