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21 </w:t>
      </w:r>
      <w:r>
        <w:rPr>
          <w:rFonts w:ascii="Times New Roman" w:hAnsi="Times New Roman" w:cs="Times New Roman"/>
          <w:b/>
          <w:bCs/>
          <w:sz w:val="28"/>
          <w:szCs w:val="28"/>
        </w:rPr>
        <w:t>Ответственность за распространение экстремистских материалов</w:t>
      </w: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федерального законодательства экстремистскими материалами являются предназначенные для обнародования документы либо информация на иных носителях (в том числе в сети «Интернет»), призывающие к осуществлению экстремистской деятельности либо обосновывающие или оправдывающие необходимость осуществления такой деятельности,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Российской Федерации запрещается распространение экстремистских материалов, а также их производство или хранение в целях распространения.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Действующим законодательством предусмотрена административная ответственность за массовое распространение признанных запрещенными экстремистских материалов; за пропаганду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 предусмотрена за публичные призывы к осуществлению экстремистской деятельности; возбуждение ненависти либо вражды, а равно унижение человеческого достоинства; организацию экстремистского сообщества и т.д.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Сергеева Н.В.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3DF5535C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