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23 </w:t>
      </w:r>
      <w:r>
        <w:rPr>
          <w:rFonts w:ascii="Times New Roman" w:hAnsi="Times New Roman" w:cs="Times New Roman"/>
          <w:b/>
          <w:bCs/>
          <w:sz w:val="28"/>
          <w:szCs w:val="28"/>
        </w:rPr>
        <w:t>Избрание меры пресечения в отношении несовершеннолетнего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отношении несовершеннолетнего </w:t>
      </w:r>
      <w:r>
        <w:fldChar w:fldCharType="begin"/>
      </w:r>
      <w:r>
        <w:instrText xml:space="preserve"> HYPERLINK "http://crimlib.info/%D0%9F%D0%BE%D0%B4%D0%BE%D0%B7%D1%80%D0%B5%D0%B2%D0%B0%D0%B5%D0%BC%D1%8B%D0%B9"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t>подозреваемого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 </w:t>
      </w:r>
      <w:r>
        <w:fldChar w:fldCharType="begin"/>
      </w:r>
      <w:r>
        <w:instrText xml:space="preserve"> HYPERLINK "http://crimlib.info/%D0%9E%D0%B1%D0%B2%D0%B8%D0%BD%D1%8F%D0%B5%D0%BC%D1%8B%D0%B9"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t>обвиняемого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 при наличии оснований и в порядке, установленных УПК РФ, может быть избрана мера пресечения.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ч. 2 ст. 108 УПК РФ заключение под стражу может быть применено лишь в случаях, если несовершеннолетний подозревается, обвиняется в совершении тяжкого или особо тяжкого преступления. В исключительных случаях, как единственно возможное в данных случаях, заключение под стражу может быть избрано в отношении несовершеннолетнего, совершившего преступление средней тяжести.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Пленум Верховного Суда РФ обращает внимание правоприменителей на то, что при решении вопроса о применении этой самой строгой меры пресечения необходимо тщательно проверять обоснованность мотивов о необходимости заключения несовершеннолетнего под стражу и невозможности избрания иной более мягкой меры пресечения.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должна обсуждаться возможность отдачи несовершеннолетнего под присмотр в соответствии со ст. 105 УПК РФ, как об этом указано в ч. 2 ст. 423 УПК РФ. Несоблюдение этих требований закона влечет за собой признание решения об избрании заключения под стражу в отношении несовершеннолетнего незаконным и необоснованным.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как о задержании, о заключении под стражу или продлении срока содержания под стражей несовершеннолетнего подозреваемого, обвиняемого незамедлительно извещаются его законные представители.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Клюева Л.Б.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5F9D4AC0"/>
    <w:rsid w:val="686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